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3E7B1" w14:textId="77777777" w:rsidR="00A248E4" w:rsidRPr="00485C53" w:rsidRDefault="00A248E4" w:rsidP="00A248E4">
      <w:r w:rsidRPr="00485C53">
        <w:t>Til</w:t>
      </w:r>
      <w:r w:rsidRPr="00485C53">
        <w:rPr>
          <w:spacing w:val="11"/>
        </w:rPr>
        <w:t xml:space="preserve"> </w:t>
      </w:r>
      <w:r w:rsidRPr="00485C53">
        <w:rPr>
          <w:w w:val="103"/>
        </w:rPr>
        <w:t>nemndmedlemmene</w:t>
      </w:r>
    </w:p>
    <w:p w14:paraId="213C630B" w14:textId="77777777" w:rsidR="00A248E4" w:rsidRPr="00485C53" w:rsidRDefault="00A248E4" w:rsidP="00A248E4"/>
    <w:p w14:paraId="24B06CA6" w14:textId="77777777" w:rsidR="00A248E4" w:rsidRPr="00485C53" w:rsidRDefault="00A248E4" w:rsidP="00DB6D6C">
      <w:pPr>
        <w:pStyle w:val="Overskrift1"/>
      </w:pPr>
      <w:r w:rsidRPr="00485C53">
        <w:t>JURIDISK</w:t>
      </w:r>
      <w:r w:rsidRPr="00485C53">
        <w:rPr>
          <w:spacing w:val="63"/>
        </w:rPr>
        <w:t xml:space="preserve"> </w:t>
      </w:r>
      <w:r w:rsidRPr="00485C53">
        <w:rPr>
          <w:w w:val="101"/>
        </w:rPr>
        <w:t>METODELÆRE</w:t>
      </w:r>
    </w:p>
    <w:p w14:paraId="1F44D301" w14:textId="77777777" w:rsidR="00A248E4" w:rsidRPr="00485C53" w:rsidRDefault="00A248E4" w:rsidP="00A248E4"/>
    <w:p w14:paraId="2E5F97C5" w14:textId="77777777" w:rsidR="00A248E4" w:rsidRPr="00485C53" w:rsidRDefault="008A5FAA" w:rsidP="004409D7">
      <w:r>
        <w:t xml:space="preserve">Her følger </w:t>
      </w:r>
      <w:r w:rsidR="00A248E4" w:rsidRPr="004409D7">
        <w:t xml:space="preserve">i forenklet form noen hovedtrekk ved </w:t>
      </w:r>
      <w:r w:rsidR="00A248E4" w:rsidRPr="00485C53">
        <w:rPr>
          <w:i/>
          <w:iCs/>
        </w:rPr>
        <w:t>rettskildelæren,</w:t>
      </w:r>
      <w:r w:rsidR="00A248E4" w:rsidRPr="00485C53">
        <w:rPr>
          <w:i/>
          <w:iCs/>
          <w:spacing w:val="34"/>
        </w:rPr>
        <w:t xml:space="preserve"> </w:t>
      </w:r>
      <w:r w:rsidR="00A248E4" w:rsidRPr="004409D7">
        <w:t>dvs</w:t>
      </w:r>
      <w:r w:rsidR="00766C88" w:rsidRPr="004409D7">
        <w:t>.</w:t>
      </w:r>
      <w:r w:rsidR="00A248E4" w:rsidRPr="004409D7">
        <w:t xml:space="preserve"> den metode juristene følger for å løse og ta stilling til</w:t>
      </w:r>
      <w:r w:rsidR="005C52A3" w:rsidRPr="004409D7">
        <w:t xml:space="preserve"> </w:t>
      </w:r>
      <w:r w:rsidR="00A248E4" w:rsidRPr="004409D7">
        <w:t xml:space="preserve">juridiske spørsmål. </w:t>
      </w:r>
      <w:r w:rsidR="00832C1D">
        <w:t>N</w:t>
      </w:r>
      <w:r w:rsidR="003039C6" w:rsidRPr="004409D7">
        <w:t>emnd</w:t>
      </w:r>
      <w:r w:rsidR="00832C1D">
        <w:t>a er for</w:t>
      </w:r>
      <w:r w:rsidR="00A248E4" w:rsidRPr="004409D7">
        <w:t>pliktet til å følge de rettslige ramme</w:t>
      </w:r>
      <w:r w:rsidR="002C3EC7">
        <w:t>ne</w:t>
      </w:r>
      <w:r w:rsidR="00A248E4" w:rsidRPr="004409D7">
        <w:t xml:space="preserve"> for avgjørelsen</w:t>
      </w:r>
      <w:r w:rsidR="00912D02">
        <w:t>,</w:t>
      </w:r>
      <w:r w:rsidR="00912D02" w:rsidRPr="00912D02">
        <w:t xml:space="preserve"> </w:t>
      </w:r>
      <w:r w:rsidR="00912D02" w:rsidRPr="004409D7">
        <w:t xml:space="preserve">uavhengig av hva </w:t>
      </w:r>
      <w:r w:rsidR="00912D02">
        <w:t>de</w:t>
      </w:r>
      <w:r w:rsidR="00912D02" w:rsidRPr="004409D7">
        <w:t xml:space="preserve"> personlig måtte mene om </w:t>
      </w:r>
      <w:r w:rsidR="00912D02">
        <w:t>disse rammene</w:t>
      </w:r>
      <w:r w:rsidR="00A248E4" w:rsidRPr="004409D7">
        <w:t xml:space="preserve">. </w:t>
      </w:r>
      <w:r w:rsidR="002A161A">
        <w:t>N</w:t>
      </w:r>
      <w:r w:rsidR="00A248E4" w:rsidRPr="004409D7">
        <w:t xml:space="preserve">otatet </w:t>
      </w:r>
      <w:r w:rsidR="00785943">
        <w:t>beskrive</w:t>
      </w:r>
      <w:r w:rsidR="002A161A">
        <w:t>r</w:t>
      </w:r>
      <w:r w:rsidR="00785943">
        <w:t xml:space="preserve"> hvordan man skal tolke rettsreglene og finne ut av hva som er gjeldende rett. </w:t>
      </w:r>
      <w:r w:rsidR="00A248E4" w:rsidRPr="00860D67">
        <w:t xml:space="preserve"> </w:t>
      </w:r>
    </w:p>
    <w:p w14:paraId="244E2235" w14:textId="77777777" w:rsidR="00A248E4" w:rsidRDefault="00A248E4" w:rsidP="00A248E4"/>
    <w:p w14:paraId="64830339" w14:textId="77777777" w:rsidR="00A248E4" w:rsidRPr="00485C53" w:rsidRDefault="00A248E4" w:rsidP="00A248E4">
      <w:r w:rsidRPr="00C563DE">
        <w:t>S</w:t>
      </w:r>
      <w:r w:rsidR="002A161A">
        <w:t>aksbehandleren</w:t>
      </w:r>
      <w:r w:rsidRPr="00C563DE">
        <w:t xml:space="preserve"> eller nemndleder</w:t>
      </w:r>
      <w:r w:rsidR="004C406B">
        <w:t>en</w:t>
      </w:r>
      <w:r w:rsidRPr="00C563DE">
        <w:t xml:space="preserve"> skal klargjøre de rettslige premisser for en sak før den </w:t>
      </w:r>
      <w:r w:rsidR="008A5FAA">
        <w:t>l</w:t>
      </w:r>
      <w:r w:rsidRPr="00C563DE">
        <w:t xml:space="preserve">egges </w:t>
      </w:r>
      <w:r w:rsidR="008A5FAA">
        <w:t xml:space="preserve">frem </w:t>
      </w:r>
      <w:r w:rsidRPr="00C563DE">
        <w:t>for nemnda</w:t>
      </w:r>
      <w:r w:rsidR="008A5FAA">
        <w:t xml:space="preserve"> – altså rettsreglene</w:t>
      </w:r>
      <w:r w:rsidRPr="00485C53">
        <w:t>.</w:t>
      </w:r>
      <w:r w:rsidRPr="00485C53">
        <w:rPr>
          <w:spacing w:val="26"/>
        </w:rPr>
        <w:t xml:space="preserve"> </w:t>
      </w:r>
      <w:r w:rsidRPr="00C563DE">
        <w:t>Dette er ikke alltid like enkelt</w:t>
      </w:r>
      <w:r w:rsidR="008A5FAA">
        <w:t>. Det kan være tvil rundt jussen, og en s</w:t>
      </w:r>
      <w:r w:rsidRPr="00C563DE">
        <w:t xml:space="preserve">ak </w:t>
      </w:r>
      <w:r w:rsidR="008A5FAA">
        <w:t xml:space="preserve">kan </w:t>
      </w:r>
      <w:r w:rsidRPr="00C563DE">
        <w:t>ofte reise</w:t>
      </w:r>
      <w:r w:rsidR="008A5FAA">
        <w:t xml:space="preserve"> både</w:t>
      </w:r>
      <w:r w:rsidRPr="00C563DE">
        <w:t xml:space="preserve"> juridiske og faktiske</w:t>
      </w:r>
      <w:r w:rsidR="008A5FAA">
        <w:t xml:space="preserve"> spørsmål</w:t>
      </w:r>
      <w:r w:rsidRPr="00C563DE">
        <w:t xml:space="preserve"> som </w:t>
      </w:r>
      <w:r w:rsidR="008A5FAA">
        <w:t>kan</w:t>
      </w:r>
      <w:r w:rsidRPr="00C563DE">
        <w:t xml:space="preserve"> gripe inn i hverandre. </w:t>
      </w:r>
      <w:r w:rsidR="008A5FAA">
        <w:t>En nemnd kan derfor bli konfrontert med j</w:t>
      </w:r>
      <w:r w:rsidRPr="00C563DE">
        <w:t>uridiske spørsmål som for eksempel</w:t>
      </w:r>
      <w:r w:rsidR="008A5FAA">
        <w:t>: H</w:t>
      </w:r>
      <w:r w:rsidRPr="00C563DE">
        <w:t>vor strengt skal en bestemmelse oppfattes</w:t>
      </w:r>
      <w:r w:rsidR="008A5FAA">
        <w:t>? H</w:t>
      </w:r>
      <w:r w:rsidRPr="00C563DE">
        <w:t>va innebærer det at flere</w:t>
      </w:r>
      <w:r w:rsidR="00C563DE">
        <w:t xml:space="preserve"> </w:t>
      </w:r>
      <w:r w:rsidRPr="00C563DE">
        <w:t>lignende saker tidligere har blitt avgjort på en bestemt måte</w:t>
      </w:r>
      <w:r w:rsidR="008A5FAA">
        <w:t>? H</w:t>
      </w:r>
      <w:r w:rsidRPr="00C563DE">
        <w:t>vilken vekt skal det legges på lovens formål eller på uttalelser i lovens forarbeider</w:t>
      </w:r>
      <w:r w:rsidR="008A5FAA">
        <w:t>? I</w:t>
      </w:r>
      <w:r w:rsidRPr="00C563DE">
        <w:t xml:space="preserve"> hvor stor grad kan man avgjøre en sak ut fra rimelighetsbetraktninger</w:t>
      </w:r>
      <w:r w:rsidR="008A5FAA">
        <w:t>?</w:t>
      </w:r>
    </w:p>
    <w:p w14:paraId="111F95D9" w14:textId="77777777" w:rsidR="00A248E4" w:rsidRDefault="00A248E4" w:rsidP="00A248E4"/>
    <w:p w14:paraId="03C46E24" w14:textId="77777777" w:rsidR="00A248E4" w:rsidRPr="00485C53" w:rsidRDefault="00A248E4" w:rsidP="00A248E4">
      <w:r w:rsidRPr="00785943">
        <w:t>Det rettslige grunnlaget</w:t>
      </w:r>
      <w:r w:rsidRPr="00966171">
        <w:t xml:space="preserve"> (jussen) vil oftest fremgå klart av </w:t>
      </w:r>
      <w:r w:rsidR="00355F9D">
        <w:t>saksfr</w:t>
      </w:r>
      <w:r w:rsidR="002C3EC7">
        <w:t>e</w:t>
      </w:r>
      <w:r w:rsidR="00355F9D">
        <w:t>mstillingen</w:t>
      </w:r>
      <w:r w:rsidRPr="00966171">
        <w:t xml:space="preserve"> eller i nemndleder</w:t>
      </w:r>
      <w:r w:rsidR="00912D02">
        <w:t>en</w:t>
      </w:r>
      <w:r w:rsidRPr="00966171">
        <w:t>s presisering under m</w:t>
      </w:r>
      <w:r w:rsidR="009A056A" w:rsidRPr="00966171">
        <w:t>ø</w:t>
      </w:r>
      <w:r w:rsidRPr="00966171">
        <w:t>tet</w:t>
      </w:r>
      <w:r w:rsidRPr="00485C53">
        <w:t>. I</w:t>
      </w:r>
      <w:r w:rsidRPr="00966171">
        <w:t xml:space="preserve"> </w:t>
      </w:r>
      <w:r w:rsidRPr="00485C53">
        <w:t>de</w:t>
      </w:r>
      <w:r w:rsidRPr="00966171">
        <w:t xml:space="preserve"> </w:t>
      </w:r>
      <w:r w:rsidRPr="00485C53">
        <w:t>fleste</w:t>
      </w:r>
      <w:r w:rsidRPr="00966171">
        <w:t xml:space="preserve"> </w:t>
      </w:r>
      <w:r w:rsidRPr="00485C53">
        <w:t>saker</w:t>
      </w:r>
      <w:r w:rsidRPr="00966171">
        <w:t xml:space="preserve"> </w:t>
      </w:r>
      <w:r w:rsidRPr="00485C53">
        <w:t>vil</w:t>
      </w:r>
      <w:r w:rsidRPr="00966171">
        <w:t xml:space="preserve"> </w:t>
      </w:r>
      <w:r w:rsidR="00832C1D">
        <w:t>er det</w:t>
      </w:r>
      <w:r w:rsidRPr="00966171">
        <w:t xml:space="preserve"> </w:t>
      </w:r>
      <w:r w:rsidRPr="00485C53">
        <w:t>ikke</w:t>
      </w:r>
      <w:r w:rsidRPr="00966171">
        <w:t xml:space="preserve"> </w:t>
      </w:r>
      <w:r w:rsidR="00832C1D">
        <w:t>v</w:t>
      </w:r>
      <w:r w:rsidRPr="00485C53">
        <w:t>ære</w:t>
      </w:r>
      <w:r w:rsidRPr="00966171">
        <w:t xml:space="preserve"> </w:t>
      </w:r>
      <w:r w:rsidRPr="00485C53">
        <w:rPr>
          <w:w w:val="93"/>
        </w:rPr>
        <w:t>nødvendig</w:t>
      </w:r>
      <w:r w:rsidRPr="00966171">
        <w:t xml:space="preserve"> </w:t>
      </w:r>
      <w:r w:rsidRPr="00485C53">
        <w:rPr>
          <w:spacing w:val="2"/>
          <w:w w:val="93"/>
        </w:rPr>
        <w:t>å</w:t>
      </w:r>
      <w:r w:rsidRPr="00966171">
        <w:t xml:space="preserve"> </w:t>
      </w:r>
      <w:r w:rsidRPr="00485C53">
        <w:t>foreta</w:t>
      </w:r>
      <w:r w:rsidRPr="00966171">
        <w:t xml:space="preserve"> nærmere vurderinger rundt det juridiske grunnlaget</w:t>
      </w:r>
      <w:r w:rsidRPr="00485C53">
        <w:t>.</w:t>
      </w:r>
      <w:r w:rsidR="00355F9D">
        <w:t xml:space="preserve"> </w:t>
      </w:r>
      <w:r w:rsidRPr="00966171">
        <w:t xml:space="preserve">Men i </w:t>
      </w:r>
      <w:r w:rsidR="00355F9D">
        <w:t>enkelte</w:t>
      </w:r>
      <w:r w:rsidRPr="00966171">
        <w:t xml:space="preserve"> </w:t>
      </w:r>
      <w:r w:rsidR="008033DC">
        <w:t xml:space="preserve">saker </w:t>
      </w:r>
      <w:r w:rsidRPr="00966171">
        <w:t xml:space="preserve">vil tvilen også være knyttet til </w:t>
      </w:r>
      <w:r w:rsidR="00355F9D">
        <w:t xml:space="preserve">rent </w:t>
      </w:r>
      <w:r w:rsidRPr="00966171">
        <w:t xml:space="preserve">juridiske spørsmål. </w:t>
      </w:r>
      <w:r w:rsidR="00355F9D">
        <w:t xml:space="preserve">Man </w:t>
      </w:r>
      <w:r w:rsidRPr="00966171">
        <w:t xml:space="preserve">utleder gjeldende rett ved å sammenholde flere </w:t>
      </w:r>
      <w:r w:rsidR="002A161A">
        <w:t xml:space="preserve">konkrete </w:t>
      </w:r>
      <w:r w:rsidRPr="00966171">
        <w:rPr>
          <w:i/>
        </w:rPr>
        <w:t>rettskildefaktorer</w:t>
      </w:r>
      <w:r w:rsidR="0018168D">
        <w:rPr>
          <w:i/>
        </w:rPr>
        <w:t xml:space="preserve">, </w:t>
      </w:r>
      <w:r w:rsidR="00DC77C6">
        <w:t>i all</w:t>
      </w:r>
      <w:r w:rsidR="0018168D">
        <w:t xml:space="preserve"> hovedsak</w:t>
      </w:r>
      <w:r w:rsidR="009A056A" w:rsidRPr="00966171">
        <w:t xml:space="preserve"> </w:t>
      </w:r>
      <w:r w:rsidRPr="00966171">
        <w:t xml:space="preserve">lov, forskrift, konvensjoner, forarbeider, rettspraksis, forvaltningspraksis, juridisk teori og </w:t>
      </w:r>
      <w:r w:rsidR="004C406B">
        <w:t xml:space="preserve">det vi kaller </w:t>
      </w:r>
      <w:r w:rsidRPr="00966171">
        <w:t>reelle hensyn</w:t>
      </w:r>
      <w:r w:rsidRPr="00485C53">
        <w:rPr>
          <w:w w:val="104"/>
        </w:rPr>
        <w:t>.</w:t>
      </w:r>
      <w:r w:rsidR="008033DC">
        <w:rPr>
          <w:w w:val="104"/>
        </w:rPr>
        <w:t xml:space="preserve"> </w:t>
      </w:r>
    </w:p>
    <w:p w14:paraId="21C2196C" w14:textId="77777777" w:rsidR="00A248E4" w:rsidRPr="00485C53" w:rsidRDefault="00A248E4" w:rsidP="00A248E4"/>
    <w:p w14:paraId="7C57A95B" w14:textId="44E87B78" w:rsidR="00B51FB0" w:rsidRDefault="00A248E4" w:rsidP="00A248E4">
      <w:r w:rsidRPr="00966171">
        <w:t xml:space="preserve">Rettskildesituasjonen varierer fra rettsområde til rettsområde. </w:t>
      </w:r>
      <w:r w:rsidR="00B51FB0">
        <w:t xml:space="preserve">Mange av rettskildene kan søkes opp på </w:t>
      </w:r>
      <w:hyperlink r:id="rId11" w:history="1">
        <w:r w:rsidR="00B51FB0" w:rsidRPr="00BB0AD4">
          <w:rPr>
            <w:rStyle w:val="Hyperkobling"/>
          </w:rPr>
          <w:t>www.lovdata.no</w:t>
        </w:r>
      </w:hyperlink>
      <w:r w:rsidR="00B51FB0">
        <w:t xml:space="preserve"> eller </w:t>
      </w:r>
      <w:hyperlink r:id="rId12" w:history="1">
        <w:r w:rsidR="00B51FB0" w:rsidRPr="00BB0AD4">
          <w:rPr>
            <w:rStyle w:val="Hyperkobling"/>
          </w:rPr>
          <w:t>www.udiregelverk.no</w:t>
        </w:r>
      </w:hyperlink>
      <w:r w:rsidR="00B51FB0">
        <w:t>.</w:t>
      </w:r>
    </w:p>
    <w:p w14:paraId="54F0BEE4" w14:textId="77777777" w:rsidR="00B51FB0" w:rsidRDefault="00B51FB0" w:rsidP="00A248E4"/>
    <w:p w14:paraId="2E55FC82" w14:textId="25E692E7" w:rsidR="00A248E4" w:rsidRPr="00485C53" w:rsidRDefault="00A248E4" w:rsidP="00A248E4">
      <w:r w:rsidRPr="00966171">
        <w:t>Dette er de mest sentrale rettskilde</w:t>
      </w:r>
      <w:r w:rsidR="002A161A">
        <w:t>faktore</w:t>
      </w:r>
      <w:r w:rsidRPr="00966171">
        <w:t>ne på utlendingsrettens område</w:t>
      </w:r>
      <w:r w:rsidRPr="00485C53">
        <w:rPr>
          <w:w w:val="103"/>
        </w:rPr>
        <w:t>:</w:t>
      </w:r>
    </w:p>
    <w:p w14:paraId="33C4CA83" w14:textId="77777777" w:rsidR="00A248E4" w:rsidRPr="00485C53" w:rsidRDefault="00A248E4" w:rsidP="00A248E4"/>
    <w:p w14:paraId="1F99E1C7" w14:textId="77777777" w:rsidR="00A248E4" w:rsidRPr="00DB6D6C" w:rsidRDefault="00355F9D" w:rsidP="00DB6D6C">
      <w:pPr>
        <w:pStyle w:val="Overskrift2"/>
        <w:rPr>
          <w:i w:val="0"/>
        </w:rPr>
      </w:pPr>
      <w:r w:rsidRPr="00DB6D6C">
        <w:rPr>
          <w:i w:val="0"/>
        </w:rPr>
        <w:t>Formelt</w:t>
      </w:r>
      <w:r w:rsidR="00912D02" w:rsidRPr="00DB6D6C">
        <w:rPr>
          <w:i w:val="0"/>
        </w:rPr>
        <w:t>, nasjonalt</w:t>
      </w:r>
      <w:r w:rsidRPr="00DB6D6C">
        <w:rPr>
          <w:i w:val="0"/>
        </w:rPr>
        <w:t xml:space="preserve"> regelverk</w:t>
      </w:r>
    </w:p>
    <w:p w14:paraId="6D774F21" w14:textId="77777777" w:rsidR="00A248E4" w:rsidRPr="00485C53" w:rsidRDefault="000558FF" w:rsidP="00A248E4">
      <w:r w:rsidRPr="00506BC1">
        <w:rPr>
          <w:u w:val="single"/>
        </w:rPr>
        <w:t>Oversikt:</w:t>
      </w:r>
      <w:r>
        <w:t xml:space="preserve"> </w:t>
      </w:r>
      <w:r w:rsidR="00355F9D">
        <w:t xml:space="preserve">Dette </w:t>
      </w:r>
      <w:r w:rsidR="005A621D">
        <w:t>omfatter</w:t>
      </w:r>
      <w:r w:rsidR="00355F9D">
        <w:t xml:space="preserve"> </w:t>
      </w:r>
      <w:r w:rsidR="004C406B">
        <w:t xml:space="preserve">hovedsakelig </w:t>
      </w:r>
      <w:r w:rsidR="00A248E4" w:rsidRPr="00966171">
        <w:t>Grunnloven, lover vedtatt av Stortinget</w:t>
      </w:r>
      <w:r w:rsidR="00355F9D">
        <w:t xml:space="preserve"> og</w:t>
      </w:r>
      <w:r w:rsidR="00A248E4" w:rsidRPr="00966171">
        <w:t xml:space="preserve"> forskrifter gitt med hjemmel i lov</w:t>
      </w:r>
      <w:r w:rsidR="00355F9D">
        <w:t>.</w:t>
      </w:r>
      <w:r w:rsidR="004C406B">
        <w:t xml:space="preserve"> </w:t>
      </w:r>
      <w:r w:rsidR="00A248E4" w:rsidRPr="00966171">
        <w:t xml:space="preserve">Utlendingsretten er i </w:t>
      </w:r>
      <w:r w:rsidR="00F40C02" w:rsidRPr="00966171">
        <w:t xml:space="preserve">stor </w:t>
      </w:r>
      <w:r w:rsidR="00A248E4" w:rsidRPr="00966171">
        <w:t>grad regulert av bestemmelser</w:t>
      </w:r>
      <w:r w:rsidR="008033DC">
        <w:t xml:space="preserve"> som er politisk bestemt</w:t>
      </w:r>
      <w:r w:rsidR="00A248E4" w:rsidRPr="009D0AB4">
        <w:t xml:space="preserve">. For å ta stilling til </w:t>
      </w:r>
      <w:r w:rsidR="008033DC">
        <w:t>regler</w:t>
      </w:r>
      <w:r w:rsidR="00A248E4" w:rsidRPr="009D0AB4">
        <w:t>s innhold</w:t>
      </w:r>
      <w:r w:rsidR="008033DC">
        <w:t>,</w:t>
      </w:r>
      <w:r w:rsidR="00A248E4" w:rsidRPr="009D0AB4">
        <w:t xml:space="preserve"> tar man utgangspunkt i ordlyden. En lovtekst skal kunne regulere mange individuelt forskjellige saker</w:t>
      </w:r>
      <w:r w:rsidR="00592787">
        <w:t>, og d</w:t>
      </w:r>
      <w:r w:rsidR="00A248E4" w:rsidRPr="009D0AB4">
        <w:t xml:space="preserve">en er derfor generelt utformet. Lovens manglende konkretisering </w:t>
      </w:r>
      <w:r w:rsidR="008033DC">
        <w:t>kan</w:t>
      </w:r>
      <w:r w:rsidR="00A248E4" w:rsidRPr="009D0AB4">
        <w:t xml:space="preserve"> imidlertid føre til tvil i saker som ligger i randsonen av bestemmelsen. Man må da tolke loven for nærmere å fastlegge dens innhold</w:t>
      </w:r>
      <w:r w:rsidR="00A248E4" w:rsidRPr="00485C53">
        <w:rPr>
          <w:w w:val="103"/>
        </w:rPr>
        <w:t>.</w:t>
      </w:r>
      <w:r w:rsidR="008033DC">
        <w:rPr>
          <w:w w:val="103"/>
        </w:rPr>
        <w:t xml:space="preserve"> Det samme gjelder for forskrifter.</w:t>
      </w:r>
    </w:p>
    <w:p w14:paraId="15239BE7" w14:textId="77777777" w:rsidR="00A248E4" w:rsidRDefault="00A248E4" w:rsidP="00A248E4"/>
    <w:p w14:paraId="1220AA96" w14:textId="77777777" w:rsidR="00A05C7D" w:rsidRDefault="00A05C7D" w:rsidP="00A248E4">
      <w:r w:rsidRPr="00506BC1">
        <w:rPr>
          <w:u w:val="single"/>
        </w:rPr>
        <w:t>Grunnloven</w:t>
      </w:r>
      <w:r>
        <w:t xml:space="preserve"> fikk i 2014 en rekke bestemmelser i kapittelet om menneskerettigheter som får betydning for utlendingsretten. Det gjelder blant annet bestemmelser </w:t>
      </w:r>
      <w:r w:rsidR="00627EEE">
        <w:t xml:space="preserve">om retten til respekt for </w:t>
      </w:r>
      <w:r>
        <w:t xml:space="preserve">privatliv og familieliv (§ 102) og </w:t>
      </w:r>
      <w:r w:rsidR="00627EEE">
        <w:t>vern av</w:t>
      </w:r>
      <w:r>
        <w:t xml:space="preserve"> barn (§ 104). Disse bestemmelsene</w:t>
      </w:r>
      <w:r w:rsidR="002C3EC7">
        <w:t>, som er basert i konvensjonsforpliktelser,</w:t>
      </w:r>
      <w:r>
        <w:t xml:space="preserve"> </w:t>
      </w:r>
      <w:r w:rsidR="00627EEE">
        <w:t xml:space="preserve">gjaldt </w:t>
      </w:r>
      <w:r w:rsidR="002C3EC7">
        <w:t>også tidligere i norsk rett</w:t>
      </w:r>
      <w:r w:rsidR="00627EEE">
        <w:t xml:space="preserve">, men har nå fått en annen status. </w:t>
      </w:r>
    </w:p>
    <w:p w14:paraId="0A3D02C7" w14:textId="77777777" w:rsidR="00627EEE" w:rsidRPr="00485C53" w:rsidRDefault="00627EEE" w:rsidP="00A248E4"/>
    <w:p w14:paraId="61A04E4E" w14:textId="73478CE2" w:rsidR="00627EEE" w:rsidRDefault="000558FF" w:rsidP="00AE2212">
      <w:r w:rsidRPr="00506BC1">
        <w:rPr>
          <w:u w:val="single"/>
        </w:rPr>
        <w:t>Lover</w:t>
      </w:r>
      <w:r>
        <w:rPr>
          <w:u w:val="single"/>
        </w:rPr>
        <w:t xml:space="preserve"> og forskrifter</w:t>
      </w:r>
      <w:r>
        <w:t xml:space="preserve">: </w:t>
      </w:r>
      <w:r w:rsidR="00627EEE">
        <w:t xml:space="preserve">For vanlige </w:t>
      </w:r>
      <w:r w:rsidR="00A248E4" w:rsidRPr="00AE2212">
        <w:t>utlendingssaker</w:t>
      </w:r>
      <w:r w:rsidR="00A248E4" w:rsidRPr="009D0AB4">
        <w:t xml:space="preserve"> </w:t>
      </w:r>
      <w:r w:rsidR="00627EEE">
        <w:t xml:space="preserve">gjelder utlendingsloven </w:t>
      </w:r>
      <w:r w:rsidR="006461B3" w:rsidRPr="009D0AB4">
        <w:t>15. mai 2008</w:t>
      </w:r>
      <w:r w:rsidR="00A248E4" w:rsidRPr="00485C53">
        <w:rPr>
          <w:w w:val="104"/>
        </w:rPr>
        <w:t>.</w:t>
      </w:r>
      <w:r w:rsidR="00627EEE">
        <w:rPr>
          <w:w w:val="104"/>
        </w:rPr>
        <w:t xml:space="preserve"> </w:t>
      </w:r>
      <w:r w:rsidR="00627EEE" w:rsidRPr="009D0AB4">
        <w:t xml:space="preserve">Utfyllende forskrifter </w:t>
      </w:r>
      <w:r w:rsidR="00627EEE">
        <w:t xml:space="preserve">er </w:t>
      </w:r>
      <w:r w:rsidR="00627EEE" w:rsidRPr="009D0AB4">
        <w:t>gitt 15</w:t>
      </w:r>
      <w:r w:rsidR="00627EEE">
        <w:rPr>
          <w:spacing w:val="12"/>
        </w:rPr>
        <w:t xml:space="preserve">. </w:t>
      </w:r>
      <w:r w:rsidR="00627EEE" w:rsidRPr="009D0AB4">
        <w:t>oktober 2009</w:t>
      </w:r>
      <w:r w:rsidR="00627EEE">
        <w:rPr>
          <w:w w:val="103"/>
        </w:rPr>
        <w:t xml:space="preserve">. </w:t>
      </w:r>
      <w:r w:rsidR="00627EEE">
        <w:rPr>
          <w:w w:val="104"/>
        </w:rPr>
        <w:t>For saker om norsk statsborgerskap</w:t>
      </w:r>
      <w:r w:rsidR="00912D02">
        <w:rPr>
          <w:w w:val="104"/>
        </w:rPr>
        <w:t xml:space="preserve"> </w:t>
      </w:r>
      <w:r w:rsidR="00627EEE">
        <w:rPr>
          <w:w w:val="104"/>
        </w:rPr>
        <w:t>gjelder statsborgerloven 10. juni 2005 og statsborgerforskriften</w:t>
      </w:r>
      <w:r w:rsidR="002D0DBF">
        <w:rPr>
          <w:w w:val="104"/>
        </w:rPr>
        <w:t xml:space="preserve"> </w:t>
      </w:r>
      <w:r w:rsidR="00627EEE">
        <w:rPr>
          <w:w w:val="104"/>
        </w:rPr>
        <w:t>30. juni 2006</w:t>
      </w:r>
      <w:r w:rsidR="00627EEE">
        <w:t xml:space="preserve">. </w:t>
      </w:r>
      <w:r w:rsidR="00832C1D">
        <w:t>Et</w:t>
      </w:r>
      <w:r w:rsidR="00506BC1">
        <w:t>ter</w:t>
      </w:r>
      <w:r w:rsidR="00832C1D">
        <w:t xml:space="preserve"> at reg</w:t>
      </w:r>
      <w:r w:rsidR="00C41C5E">
        <w:t>lene</w:t>
      </w:r>
      <w:r w:rsidR="00832C1D">
        <w:t xml:space="preserve"> ble </w:t>
      </w:r>
      <w:r w:rsidR="00832C1D">
        <w:lastRenderedPageBreak/>
        <w:t>vedtatt, har det</w:t>
      </w:r>
      <w:r w:rsidR="00506BC1">
        <w:t xml:space="preserve"> </w:t>
      </w:r>
      <w:r w:rsidR="004C406B">
        <w:t>vært en rekke endringer</w:t>
      </w:r>
      <w:r w:rsidR="00832C1D">
        <w:t>. D</w:t>
      </w:r>
      <w:r w:rsidR="005A582E">
        <w:t>et er de nyeste versjonene UNE må følge</w:t>
      </w:r>
      <w:r w:rsidR="004C406B">
        <w:t xml:space="preserve">. </w:t>
      </w:r>
      <w:r>
        <w:t>Også annet regelverk får betydning i mange utlendingssaker, for eksempel int</w:t>
      </w:r>
      <w:r w:rsidR="001D6060">
        <w:t>egreringsloven</w:t>
      </w:r>
      <w:r w:rsidR="0018168D">
        <w:t xml:space="preserve"> og </w:t>
      </w:r>
      <w:r w:rsidR="008374D7">
        <w:t>straffeloven</w:t>
      </w:r>
      <w:r>
        <w:t>.</w:t>
      </w:r>
    </w:p>
    <w:p w14:paraId="350DAADD" w14:textId="6860A9CA" w:rsidR="00745F90" w:rsidRDefault="00745F90" w:rsidP="00AE2212"/>
    <w:p w14:paraId="4A124E57" w14:textId="77777777" w:rsidR="00A248E4" w:rsidRPr="00485C53" w:rsidRDefault="0018168D" w:rsidP="00A248E4">
      <w:r w:rsidRPr="00506BC1">
        <w:rPr>
          <w:u w:val="single"/>
        </w:rPr>
        <w:t>Saksbehandling</w:t>
      </w:r>
      <w:r>
        <w:t xml:space="preserve">: </w:t>
      </w:r>
      <w:r w:rsidR="00627EEE" w:rsidRPr="0018168D">
        <w:t>Forvaltningsloven</w:t>
      </w:r>
      <w:r w:rsidR="00627EEE">
        <w:t xml:space="preserve"> </w:t>
      </w:r>
      <w:r w:rsidR="00A248E4" w:rsidRPr="009D0AB4">
        <w:t xml:space="preserve">10. februar 1967 gjelder for </w:t>
      </w:r>
      <w:proofErr w:type="spellStart"/>
      <w:r w:rsidR="00766C88" w:rsidRPr="009D0AB4">
        <w:t>UNEs</w:t>
      </w:r>
      <w:proofErr w:type="spellEnd"/>
      <w:r w:rsidR="00A248E4" w:rsidRPr="009D0AB4">
        <w:t xml:space="preserve"> saksbehandling. Noen saksbehandlingsregler f</w:t>
      </w:r>
      <w:r w:rsidR="002C3EC7">
        <w:t>ølger</w:t>
      </w:r>
      <w:r w:rsidR="00A248E4" w:rsidRPr="009D0AB4">
        <w:t xml:space="preserve"> også av utl</w:t>
      </w:r>
      <w:r w:rsidR="006461B3" w:rsidRPr="009D0AB4">
        <w:t xml:space="preserve">endingsloven og </w:t>
      </w:r>
      <w:r w:rsidR="00627EEE">
        <w:t xml:space="preserve">statsborgerloven med </w:t>
      </w:r>
      <w:r w:rsidR="006461B3" w:rsidRPr="009D0AB4">
        <w:t>forskrifte</w:t>
      </w:r>
      <w:r w:rsidR="00627EEE">
        <w:t>r</w:t>
      </w:r>
      <w:r w:rsidR="00A248E4" w:rsidRPr="00485C53">
        <w:rPr>
          <w:w w:val="111"/>
        </w:rPr>
        <w:t>.</w:t>
      </w:r>
    </w:p>
    <w:p w14:paraId="3B5429C9" w14:textId="77777777" w:rsidR="00A248E4" w:rsidRPr="00485C53" w:rsidRDefault="00A248E4" w:rsidP="00A248E4"/>
    <w:p w14:paraId="2ED78AA0" w14:textId="42C0E22A" w:rsidR="00A22D6B" w:rsidRDefault="000558FF" w:rsidP="00A248E4">
      <w:r w:rsidRPr="00506BC1">
        <w:rPr>
          <w:u w:val="single"/>
        </w:rPr>
        <w:t>Interne retningslinjer</w:t>
      </w:r>
      <w:r>
        <w:t xml:space="preserve">: </w:t>
      </w:r>
      <w:r w:rsidR="00A248E4" w:rsidRPr="009D0AB4">
        <w:t>Utlendingsne</w:t>
      </w:r>
      <w:r w:rsidR="006461B3" w:rsidRPr="009D0AB4">
        <w:t>mn</w:t>
      </w:r>
      <w:r w:rsidR="00A248E4" w:rsidRPr="009D0AB4">
        <w:t>das direktør har</w:t>
      </w:r>
      <w:r w:rsidR="002D0DBF">
        <w:t xml:space="preserve"> </w:t>
      </w:r>
      <w:r w:rsidR="00A248E4" w:rsidRPr="009D0AB4">
        <w:t xml:space="preserve">adgang til å gi </w:t>
      </w:r>
      <w:r w:rsidR="00A248E4" w:rsidRPr="000558FF">
        <w:t>interne retningslinjer</w:t>
      </w:r>
      <w:r w:rsidR="00A248E4" w:rsidRPr="009D0AB4">
        <w:t xml:space="preserve"> om </w:t>
      </w:r>
      <w:r w:rsidR="002A161A">
        <w:t xml:space="preserve">blant annet </w:t>
      </w:r>
      <w:r w:rsidR="00A248E4" w:rsidRPr="009D0AB4">
        <w:t>behandlingen av enkeltsaker.</w:t>
      </w:r>
      <w:r w:rsidR="002D0DBF">
        <w:t xml:space="preserve"> Dette følger av utlendingsforskriften</w:t>
      </w:r>
      <w:r w:rsidR="002D0DBF" w:rsidRPr="009D0AB4">
        <w:t xml:space="preserve"> § 16-2 annet ledd</w:t>
      </w:r>
      <w:r>
        <w:t>.</w:t>
      </w:r>
      <w:r w:rsidR="002D0DBF" w:rsidRPr="009D0AB4">
        <w:t xml:space="preserve"> </w:t>
      </w:r>
      <w:r w:rsidR="00832C1D">
        <w:t>R</w:t>
      </w:r>
      <w:r w:rsidR="00A248E4" w:rsidRPr="009D0AB4">
        <w:t>etningslinje</w:t>
      </w:r>
      <w:r w:rsidR="00832C1D">
        <w:t>ne gjelder</w:t>
      </w:r>
      <w:r>
        <w:t xml:space="preserve"> </w:t>
      </w:r>
      <w:r w:rsidR="00A248E4" w:rsidRPr="009D0AB4">
        <w:t>i all hovedsak saksbehandling</w:t>
      </w:r>
      <w:r w:rsidR="00832C1D">
        <w:t xml:space="preserve"> og</w:t>
      </w:r>
      <w:r w:rsidR="00832C1D" w:rsidDel="00A22D6B">
        <w:t xml:space="preserve"> </w:t>
      </w:r>
      <w:r w:rsidR="00832C1D">
        <w:t>er</w:t>
      </w:r>
      <w:r w:rsidR="002A161A">
        <w:rPr>
          <w:w w:val="103"/>
        </w:rPr>
        <w:t xml:space="preserve"> publisert på </w:t>
      </w:r>
      <w:r w:rsidR="00A22D6B">
        <w:rPr>
          <w:w w:val="103"/>
        </w:rPr>
        <w:t xml:space="preserve">nettstedet </w:t>
      </w:r>
      <w:hyperlink r:id="rId13" w:history="1">
        <w:r w:rsidR="00A22D6B" w:rsidRPr="00BB0AD4">
          <w:rPr>
            <w:rStyle w:val="Hyperkobling"/>
            <w:w w:val="103"/>
          </w:rPr>
          <w:t>www.une.no</w:t>
        </w:r>
      </w:hyperlink>
      <w:r w:rsidR="00A22D6B">
        <w:rPr>
          <w:w w:val="103"/>
        </w:rPr>
        <w:t>.</w:t>
      </w:r>
    </w:p>
    <w:p w14:paraId="27F05E3C" w14:textId="7CB13E58" w:rsidR="00A248E4" w:rsidRPr="00485C53" w:rsidRDefault="00A22D6B" w:rsidP="00A248E4">
      <w:r>
        <w:rPr>
          <w:w w:val="103"/>
        </w:rPr>
        <w:t xml:space="preserve"> </w:t>
      </w:r>
    </w:p>
    <w:p w14:paraId="4B5BF073" w14:textId="77777777" w:rsidR="00A248E4" w:rsidRPr="00DB6D6C" w:rsidRDefault="00A248E4" w:rsidP="00DB6D6C">
      <w:pPr>
        <w:pStyle w:val="Overskrift2"/>
        <w:rPr>
          <w:i w:val="0"/>
          <w:w w:val="104"/>
        </w:rPr>
      </w:pPr>
      <w:r w:rsidRPr="00DB6D6C">
        <w:rPr>
          <w:i w:val="0"/>
          <w:w w:val="104"/>
        </w:rPr>
        <w:t>Konvensjoner</w:t>
      </w:r>
    </w:p>
    <w:p w14:paraId="2D0CEC7D" w14:textId="085666AA" w:rsidR="00CA6ADB" w:rsidRDefault="00A248E4" w:rsidP="00A248E4">
      <w:r w:rsidRPr="009D0AB4">
        <w:t xml:space="preserve">Norge </w:t>
      </w:r>
      <w:r w:rsidR="00E14B70">
        <w:t>er</w:t>
      </w:r>
      <w:r w:rsidRPr="009D0AB4">
        <w:t xml:space="preserve"> forpliktet folkerettslig </w:t>
      </w:r>
      <w:r w:rsidR="00E14B70">
        <w:t xml:space="preserve">til å følge tiltrådte </w:t>
      </w:r>
      <w:r w:rsidRPr="009D0AB4">
        <w:t>konvensjoner</w:t>
      </w:r>
      <w:r w:rsidR="002D0DBF">
        <w:t xml:space="preserve">, </w:t>
      </w:r>
      <w:r w:rsidR="000558FF">
        <w:t>det vil si</w:t>
      </w:r>
      <w:r w:rsidR="002D0DBF">
        <w:t xml:space="preserve"> overnasjonal</w:t>
      </w:r>
      <w:r w:rsidR="000558FF">
        <w:t>t</w:t>
      </w:r>
      <w:r w:rsidR="002D0DBF">
        <w:t xml:space="preserve"> regelverk</w:t>
      </w:r>
      <w:r w:rsidRPr="009D0AB4">
        <w:t>. På samme måte som ved lover</w:t>
      </w:r>
      <w:r w:rsidR="002D0DBF">
        <w:t>,</w:t>
      </w:r>
      <w:r w:rsidRPr="009D0AB4">
        <w:t xml:space="preserve"> </w:t>
      </w:r>
      <w:r w:rsidR="002D0DBF">
        <w:t>må</w:t>
      </w:r>
      <w:r w:rsidRPr="009D0AB4">
        <w:t xml:space="preserve"> konvensjonene tolk</w:t>
      </w:r>
      <w:r w:rsidR="002D0DBF">
        <w:t>es</w:t>
      </w:r>
      <w:r w:rsidR="00785943">
        <w:t>. D</w:t>
      </w:r>
      <w:r w:rsidR="00785943">
        <w:rPr>
          <w:lang w:eastAsia="zh-CN"/>
        </w:rPr>
        <w:t xml:space="preserve">e enkelte ord og uttrykk i en konvensjon </w:t>
      </w:r>
      <w:r w:rsidR="00785943" w:rsidRPr="001A7202">
        <w:rPr>
          <w:lang w:eastAsia="zh-CN"/>
        </w:rPr>
        <w:t xml:space="preserve">skal tolkes i </w:t>
      </w:r>
      <w:r w:rsidR="00785943">
        <w:rPr>
          <w:lang w:eastAsia="zh-CN"/>
        </w:rPr>
        <w:t xml:space="preserve">tråd med en </w:t>
      </w:r>
      <w:r w:rsidR="00785943" w:rsidRPr="001A7202">
        <w:rPr>
          <w:lang w:eastAsia="zh-CN"/>
        </w:rPr>
        <w:t>alminnelig språklig forståelse sett i sin rette sammenheng og i lys av konvensjonens formål</w:t>
      </w:r>
      <w:r w:rsidR="00785943">
        <w:rPr>
          <w:lang w:eastAsia="zh-CN"/>
        </w:rPr>
        <w:t>.</w:t>
      </w:r>
      <w:r w:rsidR="002D0DBF">
        <w:t xml:space="preserve"> </w:t>
      </w:r>
      <w:r w:rsidR="00785943">
        <w:t xml:space="preserve">Også </w:t>
      </w:r>
      <w:r w:rsidRPr="009D0AB4">
        <w:t>traktatlandenes praksis</w:t>
      </w:r>
      <w:r w:rsidR="002D0DBF">
        <w:t xml:space="preserve"> og</w:t>
      </w:r>
      <w:r w:rsidRPr="009D0AB4">
        <w:t xml:space="preserve"> internasjonale domstolers praksis</w:t>
      </w:r>
      <w:r w:rsidR="002D0DBF">
        <w:t xml:space="preserve"> vil være viktige rettskilder</w:t>
      </w:r>
      <w:r w:rsidRPr="00485C53">
        <w:rPr>
          <w:w w:val="103"/>
        </w:rPr>
        <w:t>.</w:t>
      </w:r>
      <w:r w:rsidR="002D0DBF">
        <w:rPr>
          <w:w w:val="103"/>
        </w:rPr>
        <w:t xml:space="preserve"> </w:t>
      </w:r>
      <w:bookmarkStart w:id="0" w:name="focus-0001"/>
      <w:bookmarkStart w:id="1" w:name="38"/>
      <w:bookmarkStart w:id="2" w:name="39"/>
      <w:bookmarkEnd w:id="0"/>
      <w:bookmarkEnd w:id="1"/>
      <w:bookmarkEnd w:id="2"/>
      <w:r w:rsidRPr="009D0AB4">
        <w:t>Dette er noen av de viktigste konvensjonene som berører behandlingen av utlendingssaker</w:t>
      </w:r>
      <w:r w:rsidR="002D37AF">
        <w:t>:</w:t>
      </w:r>
    </w:p>
    <w:p w14:paraId="06843C1A" w14:textId="08E0A6FB" w:rsidR="00A248E4" w:rsidRPr="00485C53" w:rsidRDefault="00CA6ADB" w:rsidP="00A248E4">
      <w:r>
        <w:t xml:space="preserve"> </w:t>
      </w:r>
    </w:p>
    <w:p w14:paraId="1A026419" w14:textId="77777777" w:rsidR="00A248E4" w:rsidRPr="002D0DBF" w:rsidRDefault="002D0DBF" w:rsidP="006356E2">
      <w:pPr>
        <w:numPr>
          <w:ilvl w:val="0"/>
          <w:numId w:val="2"/>
        </w:numPr>
        <w:rPr>
          <w:lang w:val="en-GB"/>
        </w:rPr>
      </w:pPr>
      <w:r w:rsidRPr="002D0DBF">
        <w:rPr>
          <w:lang w:val="en-GB"/>
        </w:rPr>
        <w:t>FNs f</w:t>
      </w:r>
      <w:proofErr w:type="spellStart"/>
      <w:r w:rsidR="00A248E4" w:rsidRPr="006356E2">
        <w:rPr>
          <w:lang w:val="en-US"/>
        </w:rPr>
        <w:t>lyktningkonvensjon</w:t>
      </w:r>
      <w:proofErr w:type="spellEnd"/>
      <w:r w:rsidRPr="006356E2">
        <w:rPr>
          <w:lang w:val="en-US"/>
        </w:rPr>
        <w:t xml:space="preserve"> - </w:t>
      </w:r>
      <w:r w:rsidR="00A248E4" w:rsidRPr="40F63F68">
        <w:rPr>
          <w:i/>
          <w:lang w:val="en-US"/>
        </w:rPr>
        <w:t>Convention relating to the Status of</w:t>
      </w:r>
      <w:r w:rsidR="00010924" w:rsidRPr="40F63F68">
        <w:rPr>
          <w:i/>
          <w:lang w:val="en-US"/>
        </w:rPr>
        <w:t xml:space="preserve"> </w:t>
      </w:r>
      <w:r w:rsidR="00A248E4" w:rsidRPr="40F63F68">
        <w:rPr>
          <w:i/>
          <w:lang w:val="en-US"/>
        </w:rPr>
        <w:t>refugees of 28 July1951</w:t>
      </w:r>
      <w:r w:rsidRPr="002D0DBF">
        <w:rPr>
          <w:w w:val="104"/>
          <w:lang w:val="en-GB"/>
        </w:rPr>
        <w:t xml:space="preserve"> med </w:t>
      </w:r>
      <w:r w:rsidRPr="40F63F68">
        <w:rPr>
          <w:i/>
          <w:lang w:val="en-US"/>
        </w:rPr>
        <w:t>Protocol 31 January 1967</w:t>
      </w:r>
      <w:r w:rsidR="000558FF">
        <w:rPr>
          <w:lang w:val="en-US"/>
        </w:rPr>
        <w:t>.</w:t>
      </w:r>
    </w:p>
    <w:p w14:paraId="68C6E4D4" w14:textId="77777777" w:rsidR="00A248E4" w:rsidRPr="00485C53" w:rsidRDefault="00A248E4" w:rsidP="006356E2">
      <w:pPr>
        <w:ind w:left="720"/>
        <w:rPr>
          <w:lang w:val="en-GB"/>
        </w:rPr>
      </w:pPr>
    </w:p>
    <w:p w14:paraId="31457960" w14:textId="77777777" w:rsidR="00A248E4" w:rsidRPr="006356E2" w:rsidRDefault="00A248E4" w:rsidP="006356E2">
      <w:pPr>
        <w:numPr>
          <w:ilvl w:val="0"/>
          <w:numId w:val="3"/>
        </w:numPr>
        <w:rPr>
          <w:lang w:val="en-US"/>
        </w:rPr>
      </w:pPr>
      <w:r w:rsidRPr="006356E2">
        <w:rPr>
          <w:lang w:val="en-US"/>
        </w:rPr>
        <w:t xml:space="preserve">Den </w:t>
      </w:r>
      <w:proofErr w:type="spellStart"/>
      <w:r w:rsidR="002D0DBF" w:rsidRPr="006356E2">
        <w:rPr>
          <w:lang w:val="en-US"/>
        </w:rPr>
        <w:t>europeiske</w:t>
      </w:r>
      <w:proofErr w:type="spellEnd"/>
      <w:r w:rsidR="002D0DBF" w:rsidRPr="006356E2">
        <w:rPr>
          <w:lang w:val="en-US"/>
        </w:rPr>
        <w:t xml:space="preserve"> </w:t>
      </w:r>
      <w:proofErr w:type="spellStart"/>
      <w:r w:rsidR="002D0DBF" w:rsidRPr="006356E2">
        <w:rPr>
          <w:lang w:val="en-US"/>
        </w:rPr>
        <w:t>m</w:t>
      </w:r>
      <w:r w:rsidRPr="006356E2">
        <w:rPr>
          <w:lang w:val="en-US"/>
        </w:rPr>
        <w:t>enneskerettskonvensjon</w:t>
      </w:r>
      <w:proofErr w:type="spellEnd"/>
      <w:r w:rsidRPr="006356E2">
        <w:rPr>
          <w:lang w:val="en-US"/>
        </w:rPr>
        <w:t xml:space="preserve"> (EMK)</w:t>
      </w:r>
      <w:r w:rsidR="002D0DBF" w:rsidRPr="006356E2">
        <w:rPr>
          <w:lang w:val="en-US"/>
        </w:rPr>
        <w:t xml:space="preserve"> -</w:t>
      </w:r>
      <w:r w:rsidRPr="006356E2">
        <w:rPr>
          <w:lang w:val="en-US"/>
        </w:rPr>
        <w:t xml:space="preserve"> </w:t>
      </w:r>
      <w:r w:rsidRPr="40F63F68">
        <w:rPr>
          <w:i/>
          <w:lang w:val="en-US"/>
        </w:rPr>
        <w:t xml:space="preserve">Convention for the </w:t>
      </w:r>
      <w:r w:rsidR="002D0DBF" w:rsidRPr="40F63F68">
        <w:rPr>
          <w:i/>
          <w:lang w:val="en-US"/>
        </w:rPr>
        <w:t>P</w:t>
      </w:r>
      <w:r w:rsidRPr="40F63F68">
        <w:rPr>
          <w:i/>
          <w:lang w:val="en-US"/>
        </w:rPr>
        <w:t>rotection of Human Rights and Fundamental Freedoms of 4 November 1950</w:t>
      </w:r>
      <w:r w:rsidR="000558FF">
        <w:rPr>
          <w:lang w:val="en-US"/>
        </w:rPr>
        <w:t>.</w:t>
      </w:r>
    </w:p>
    <w:p w14:paraId="514E21FA" w14:textId="77777777" w:rsidR="004B462F" w:rsidRPr="006356E2" w:rsidRDefault="004B462F" w:rsidP="00A248E4">
      <w:pPr>
        <w:rPr>
          <w:lang w:val="en-US"/>
        </w:rPr>
      </w:pPr>
    </w:p>
    <w:p w14:paraId="3D7A6650" w14:textId="77777777" w:rsidR="00170E35" w:rsidRPr="00F5785E" w:rsidRDefault="00A248E4" w:rsidP="006356E2">
      <w:pPr>
        <w:numPr>
          <w:ilvl w:val="0"/>
          <w:numId w:val="3"/>
        </w:numPr>
        <w:rPr>
          <w:i/>
        </w:rPr>
      </w:pPr>
      <w:r w:rsidRPr="009D0AB4">
        <w:t xml:space="preserve">FNs konvensjon om sivile og politiske rettigheter </w:t>
      </w:r>
      <w:r w:rsidR="00D461B3">
        <w:t>–</w:t>
      </w:r>
      <w:r w:rsidR="002D0DBF">
        <w:t xml:space="preserve"> </w:t>
      </w:r>
      <w:r w:rsidR="00D461B3" w:rsidRPr="40F63F68">
        <w:rPr>
          <w:i/>
        </w:rPr>
        <w:t xml:space="preserve">International </w:t>
      </w:r>
      <w:proofErr w:type="spellStart"/>
      <w:r w:rsidR="00D461B3" w:rsidRPr="40F63F68">
        <w:rPr>
          <w:i/>
        </w:rPr>
        <w:t>Covenant</w:t>
      </w:r>
      <w:proofErr w:type="spellEnd"/>
      <w:r w:rsidR="00D461B3" w:rsidRPr="40F63F68">
        <w:rPr>
          <w:i/>
        </w:rPr>
        <w:t xml:space="preserve"> </w:t>
      </w:r>
      <w:proofErr w:type="spellStart"/>
      <w:r w:rsidR="00D461B3" w:rsidRPr="40F63F68">
        <w:rPr>
          <w:i/>
        </w:rPr>
        <w:t>on</w:t>
      </w:r>
      <w:proofErr w:type="spellEnd"/>
      <w:r w:rsidR="00D461B3" w:rsidRPr="40F63F68">
        <w:rPr>
          <w:i/>
        </w:rPr>
        <w:t xml:space="preserve"> </w:t>
      </w:r>
    </w:p>
    <w:p w14:paraId="1BB3D385" w14:textId="77777777" w:rsidR="00A248E4" w:rsidRPr="006356E2" w:rsidRDefault="00170E35" w:rsidP="006356E2">
      <w:pPr>
        <w:ind w:left="720"/>
        <w:rPr>
          <w:lang w:val="en-US"/>
        </w:rPr>
      </w:pPr>
      <w:r w:rsidRPr="40F63F68">
        <w:rPr>
          <w:i/>
          <w:lang w:val="en-US"/>
        </w:rPr>
        <w:t>Civil and Political Rights</w:t>
      </w:r>
      <w:r w:rsidRPr="006356E2">
        <w:rPr>
          <w:lang w:val="en-US"/>
        </w:rPr>
        <w:t xml:space="preserve"> </w:t>
      </w:r>
      <w:proofErr w:type="spellStart"/>
      <w:r w:rsidRPr="006356E2">
        <w:rPr>
          <w:lang w:val="en-US"/>
        </w:rPr>
        <w:t>fra</w:t>
      </w:r>
      <w:proofErr w:type="spellEnd"/>
      <w:r w:rsidR="00A248E4" w:rsidRPr="006356E2">
        <w:rPr>
          <w:lang w:val="en-US"/>
        </w:rPr>
        <w:t xml:space="preserve"> 1966</w:t>
      </w:r>
      <w:r w:rsidR="000558FF">
        <w:rPr>
          <w:lang w:val="en-US"/>
        </w:rPr>
        <w:t>.</w:t>
      </w:r>
    </w:p>
    <w:p w14:paraId="5CC66198" w14:textId="77777777" w:rsidR="00A248E4" w:rsidRPr="006356E2" w:rsidRDefault="00A248E4" w:rsidP="00A248E4">
      <w:pPr>
        <w:rPr>
          <w:lang w:val="en-US"/>
        </w:rPr>
      </w:pPr>
    </w:p>
    <w:p w14:paraId="419ADA9C" w14:textId="2E44B91D" w:rsidR="00A248E4" w:rsidRDefault="00B335AB" w:rsidP="006356E2">
      <w:pPr>
        <w:numPr>
          <w:ilvl w:val="0"/>
          <w:numId w:val="3"/>
        </w:numPr>
      </w:pPr>
      <w:r>
        <w:t>I</w:t>
      </w:r>
      <w:r w:rsidR="00A248E4">
        <w:t>nternasjonal</w:t>
      </w:r>
      <w:r w:rsidR="00A248E4" w:rsidRPr="009D0AB4">
        <w:t xml:space="preserve"> konvensjon om sosiale, økonomiske og kulturelle rettigheter </w:t>
      </w:r>
      <w:r w:rsidR="00170E35">
        <w:t xml:space="preserve">– </w:t>
      </w:r>
      <w:r w:rsidR="00170E35" w:rsidRPr="40F63F68">
        <w:rPr>
          <w:i/>
        </w:rPr>
        <w:t xml:space="preserve">International </w:t>
      </w:r>
      <w:proofErr w:type="spellStart"/>
      <w:r w:rsidR="00170E35" w:rsidRPr="40F63F68">
        <w:rPr>
          <w:i/>
        </w:rPr>
        <w:t>Covenant</w:t>
      </w:r>
      <w:proofErr w:type="spellEnd"/>
      <w:r w:rsidR="00170E35" w:rsidRPr="40F63F68">
        <w:rPr>
          <w:i/>
        </w:rPr>
        <w:t xml:space="preserve"> </w:t>
      </w:r>
      <w:proofErr w:type="spellStart"/>
      <w:r w:rsidR="00170E35" w:rsidRPr="40F63F68">
        <w:rPr>
          <w:i/>
        </w:rPr>
        <w:t>on</w:t>
      </w:r>
      <w:proofErr w:type="spellEnd"/>
      <w:r w:rsidR="00170E35" w:rsidRPr="40F63F68">
        <w:rPr>
          <w:i/>
        </w:rPr>
        <w:t xml:space="preserve"> </w:t>
      </w:r>
      <w:proofErr w:type="spellStart"/>
      <w:r w:rsidR="00170E35" w:rsidRPr="40F63F68">
        <w:rPr>
          <w:i/>
        </w:rPr>
        <w:t>Economic</w:t>
      </w:r>
      <w:proofErr w:type="spellEnd"/>
      <w:r w:rsidR="00170E35" w:rsidRPr="40F63F68">
        <w:rPr>
          <w:i/>
        </w:rPr>
        <w:t xml:space="preserve">, </w:t>
      </w:r>
      <w:proofErr w:type="spellStart"/>
      <w:r w:rsidR="00170E35" w:rsidRPr="40F63F68">
        <w:rPr>
          <w:i/>
        </w:rPr>
        <w:t>Social</w:t>
      </w:r>
      <w:proofErr w:type="spellEnd"/>
      <w:r w:rsidR="00170E35" w:rsidRPr="40F63F68">
        <w:rPr>
          <w:i/>
        </w:rPr>
        <w:t xml:space="preserve"> and Cultural Rights</w:t>
      </w:r>
      <w:r w:rsidR="00170E35">
        <w:t xml:space="preserve"> fra 1966.</w:t>
      </w:r>
    </w:p>
    <w:p w14:paraId="6CC17D11" w14:textId="77777777" w:rsidR="00170E35" w:rsidRDefault="00170E35" w:rsidP="00170E35"/>
    <w:p w14:paraId="55E7F2AE" w14:textId="77777777" w:rsidR="00170E35" w:rsidRPr="006356E2" w:rsidRDefault="00170E35" w:rsidP="006356E2">
      <w:pPr>
        <w:numPr>
          <w:ilvl w:val="0"/>
          <w:numId w:val="3"/>
        </w:numPr>
        <w:rPr>
          <w:lang w:val="en-US"/>
        </w:rPr>
      </w:pPr>
      <w:r w:rsidRPr="006356E2">
        <w:rPr>
          <w:lang w:val="en-US"/>
        </w:rPr>
        <w:t xml:space="preserve">FNs </w:t>
      </w:r>
      <w:proofErr w:type="spellStart"/>
      <w:r w:rsidRPr="006356E2">
        <w:rPr>
          <w:lang w:val="en-US"/>
        </w:rPr>
        <w:t>barnekonvensjon</w:t>
      </w:r>
      <w:proofErr w:type="spellEnd"/>
      <w:r w:rsidRPr="006356E2">
        <w:rPr>
          <w:lang w:val="en-US"/>
        </w:rPr>
        <w:t xml:space="preserve"> - </w:t>
      </w:r>
      <w:r w:rsidRPr="40F63F68">
        <w:rPr>
          <w:i/>
          <w:lang w:val="en-US"/>
        </w:rPr>
        <w:t>UN Convention on the Rights of the Child of 20 November 1989</w:t>
      </w:r>
      <w:r w:rsidR="000558FF">
        <w:rPr>
          <w:lang w:val="en-US"/>
        </w:rPr>
        <w:t>.</w:t>
      </w:r>
    </w:p>
    <w:p w14:paraId="3E55E0A4" w14:textId="77777777" w:rsidR="00DC6A1A" w:rsidRDefault="00DC6A1A" w:rsidP="00A248E4">
      <w:pPr>
        <w:rPr>
          <w:lang w:val="en-US"/>
        </w:rPr>
      </w:pPr>
    </w:p>
    <w:p w14:paraId="7F97CED6" w14:textId="77777777" w:rsidR="00DC6A1A" w:rsidRPr="00DB6D6C" w:rsidRDefault="00DC6A1A" w:rsidP="00DB6D6C">
      <w:pPr>
        <w:pStyle w:val="Overskrift2"/>
        <w:rPr>
          <w:i w:val="0"/>
        </w:rPr>
      </w:pPr>
      <w:r w:rsidRPr="00DB6D6C">
        <w:rPr>
          <w:i w:val="0"/>
        </w:rPr>
        <w:t>Instrukser</w:t>
      </w:r>
    </w:p>
    <w:p w14:paraId="7DE6F115" w14:textId="77777777" w:rsidR="00DC6A1A" w:rsidRPr="006356E2" w:rsidRDefault="000558FF" w:rsidP="00A248E4">
      <w:r>
        <w:t>D</w:t>
      </w:r>
      <w:r w:rsidR="00DC6A1A" w:rsidRPr="006356E2">
        <w:t>epartementet</w:t>
      </w:r>
      <w:r>
        <w:t xml:space="preserve"> kan instruere UDI,</w:t>
      </w:r>
      <w:r w:rsidR="004845E8">
        <w:t xml:space="preserve"> som er første instans på utlendingsfeltet, </w:t>
      </w:r>
      <w:r>
        <w:t>men UNE</w:t>
      </w:r>
      <w:r w:rsidR="008D2670">
        <w:t xml:space="preserve"> kan i utgangspunktet ikke instrueres</w:t>
      </w:r>
      <w:r w:rsidR="003B222F">
        <w:t xml:space="preserve"> om lovtolkning eller skjønnsutøvelse</w:t>
      </w:r>
      <w:r w:rsidR="008D2670">
        <w:t xml:space="preserve">. En midlertidig instruksjonsadgang utløp </w:t>
      </w:r>
      <w:r w:rsidR="00DC6A1A" w:rsidRPr="006356E2">
        <w:t>31.12.20</w:t>
      </w:r>
      <w:r w:rsidR="008A7192">
        <w:t>1</w:t>
      </w:r>
      <w:r w:rsidR="00DC6A1A" w:rsidRPr="006356E2">
        <w:t>7</w:t>
      </w:r>
      <w:r w:rsidR="008D2670">
        <w:t xml:space="preserve">. </w:t>
      </w:r>
    </w:p>
    <w:p w14:paraId="1FBBB0E3" w14:textId="77777777" w:rsidR="00A248E4" w:rsidRPr="00592787" w:rsidRDefault="00A248E4" w:rsidP="00A248E4"/>
    <w:p w14:paraId="7E7DAA7C" w14:textId="77777777" w:rsidR="00A248E4" w:rsidRPr="00DB6D6C" w:rsidRDefault="00A248E4" w:rsidP="00DB6D6C">
      <w:pPr>
        <w:pStyle w:val="Overskrift2"/>
        <w:rPr>
          <w:i w:val="0"/>
        </w:rPr>
      </w:pPr>
      <w:r w:rsidRPr="00DB6D6C">
        <w:rPr>
          <w:i w:val="0"/>
        </w:rPr>
        <w:t>Forarbeider</w:t>
      </w:r>
      <w:r w:rsidR="005C5FF8" w:rsidRPr="00DB6D6C">
        <w:rPr>
          <w:i w:val="0"/>
        </w:rPr>
        <w:t xml:space="preserve"> og etterarbeider</w:t>
      </w:r>
    </w:p>
    <w:p w14:paraId="360255D4" w14:textId="77777777" w:rsidR="005C5FF8" w:rsidRDefault="00832C1D" w:rsidP="00A248E4">
      <w:r>
        <w:t>I forarbeidene kan m</w:t>
      </w:r>
      <w:r w:rsidR="00A248E4" w:rsidRPr="009D0AB4">
        <w:t xml:space="preserve">an finne uttalelser fra lovgiveren om reglenes bakgrunn og hva de var ment å omfatte, hvordan de skal forstås eller hva som er </w:t>
      </w:r>
      <w:r w:rsidR="00592787" w:rsidRPr="009D0AB4">
        <w:t>reg</w:t>
      </w:r>
      <w:r w:rsidR="00592787">
        <w:t>el</w:t>
      </w:r>
      <w:r w:rsidR="00592787" w:rsidRPr="009D0AB4">
        <w:t xml:space="preserve">ens </w:t>
      </w:r>
      <w:r w:rsidR="00A248E4" w:rsidRPr="009D0AB4">
        <w:t xml:space="preserve">formål. </w:t>
      </w:r>
      <w:r w:rsidR="0020478D">
        <w:t xml:space="preserve">Slike uttalelser kan ha betydning </w:t>
      </w:r>
      <w:r w:rsidR="00A248E4" w:rsidRPr="009D0AB4">
        <w:t>ved</w:t>
      </w:r>
      <w:r w:rsidR="0020478D">
        <w:t xml:space="preserve"> </w:t>
      </w:r>
      <w:r w:rsidR="00A248E4" w:rsidRPr="009D0AB4">
        <w:t>tolkningen av en uklar lov</w:t>
      </w:r>
      <w:r w:rsidR="0066170D" w:rsidRPr="009D0AB4">
        <w:t>bestemmelse</w:t>
      </w:r>
      <w:r w:rsidR="00A248E4">
        <w:t>.</w:t>
      </w:r>
      <w:r w:rsidR="00170E35">
        <w:t xml:space="preserve"> Tilsvarende gjelder </w:t>
      </w:r>
      <w:r w:rsidR="005C5FF8">
        <w:t xml:space="preserve">for </w:t>
      </w:r>
      <w:r w:rsidR="00170E35">
        <w:t xml:space="preserve">forskrifter. Aktuelle forarbeider </w:t>
      </w:r>
      <w:r w:rsidR="005C5FF8">
        <w:t>kan være stortingsdokumenter</w:t>
      </w:r>
      <w:r w:rsidR="00592787">
        <w:t xml:space="preserve"> (f.eks. Ot.prp.),</w:t>
      </w:r>
      <w:r w:rsidR="005C5FF8">
        <w:t xml:space="preserve"> offentlige utredninger</w:t>
      </w:r>
      <w:r w:rsidR="00592787">
        <w:t xml:space="preserve"> (NOU)</w:t>
      </w:r>
      <w:r w:rsidR="005C5FF8">
        <w:t xml:space="preserve">, høringsbrev og </w:t>
      </w:r>
      <w:r w:rsidR="008D2670">
        <w:t xml:space="preserve">enkelte </w:t>
      </w:r>
      <w:r w:rsidR="005C5FF8">
        <w:t xml:space="preserve">rundskriv. </w:t>
      </w:r>
    </w:p>
    <w:p w14:paraId="12A36662" w14:textId="77777777" w:rsidR="005C5FF8" w:rsidRDefault="005C5FF8" w:rsidP="00A248E4"/>
    <w:p w14:paraId="219B7234" w14:textId="77777777" w:rsidR="00A248E4" w:rsidRDefault="005C5FF8" w:rsidP="00A248E4">
      <w:r>
        <w:t xml:space="preserve">Videre kan </w:t>
      </w:r>
      <w:r w:rsidR="008D2670">
        <w:t>uttal</w:t>
      </w:r>
      <w:r w:rsidR="00C41C5E">
        <w:t>els</w:t>
      </w:r>
      <w:r w:rsidR="008D2670">
        <w:t xml:space="preserve">er fra regelgiveren i ettertid - </w:t>
      </w:r>
      <w:r>
        <w:t xml:space="preserve">såkalte etterarbeider </w:t>
      </w:r>
      <w:r w:rsidR="008D2670">
        <w:t xml:space="preserve">- </w:t>
      </w:r>
      <w:r>
        <w:t>gi veiledning</w:t>
      </w:r>
      <w:r w:rsidR="008D2670">
        <w:t xml:space="preserve"> om hva som var ment med en regel. </w:t>
      </w:r>
    </w:p>
    <w:p w14:paraId="6378FBFF" w14:textId="77777777" w:rsidR="008D2670" w:rsidRPr="00485C53" w:rsidRDefault="008D2670" w:rsidP="00A248E4"/>
    <w:p w14:paraId="33684DF0" w14:textId="77777777" w:rsidR="00A248E4" w:rsidRPr="00DB6D6C" w:rsidRDefault="00A248E4" w:rsidP="00DB6D6C">
      <w:pPr>
        <w:pStyle w:val="Overskrift2"/>
        <w:rPr>
          <w:i w:val="0"/>
          <w:w w:val="102"/>
        </w:rPr>
      </w:pPr>
      <w:r w:rsidRPr="00DB6D6C">
        <w:rPr>
          <w:i w:val="0"/>
          <w:w w:val="102"/>
        </w:rPr>
        <w:t>Rettspraksis</w:t>
      </w:r>
    </w:p>
    <w:p w14:paraId="4382C408" w14:textId="77777777" w:rsidR="00A248E4" w:rsidRPr="00485C53" w:rsidRDefault="00A248E4" w:rsidP="009D0AB4">
      <w:r w:rsidRPr="00262753">
        <w:t>Myndighetenes avgjørelser bringes av og til inn for domstolene ved at klageren</w:t>
      </w:r>
      <w:r w:rsidRPr="00485C53">
        <w:rPr>
          <w:spacing w:val="3"/>
          <w:w w:val="95"/>
        </w:rPr>
        <w:t xml:space="preserve"> </w:t>
      </w:r>
      <w:r w:rsidRPr="00485C53">
        <w:t>g</w:t>
      </w:r>
      <w:r>
        <w:t>å</w:t>
      </w:r>
      <w:r w:rsidRPr="00485C53">
        <w:t>r</w:t>
      </w:r>
      <w:r w:rsidRPr="00485C53">
        <w:rPr>
          <w:spacing w:val="-13"/>
        </w:rPr>
        <w:t xml:space="preserve"> </w:t>
      </w:r>
      <w:r w:rsidRPr="00485C53">
        <w:t>til</w:t>
      </w:r>
    </w:p>
    <w:p w14:paraId="282E9599" w14:textId="3B2BAC15" w:rsidR="008A2DD7" w:rsidRDefault="00A248E4" w:rsidP="009D0AB4">
      <w:r w:rsidRPr="00262753">
        <w:t>søksmål mot staten</w:t>
      </w:r>
      <w:r w:rsidRPr="009D0AB4">
        <w:t>. Domstolenes forståelse av det juridiske grunnlag</w:t>
      </w:r>
      <w:r w:rsidR="00832C1D">
        <w:t>et</w:t>
      </w:r>
      <w:r w:rsidRPr="009D0AB4">
        <w:t xml:space="preserve"> i saken vil ha betydning som rettskilde ved behandling</w:t>
      </w:r>
      <w:r w:rsidR="008D2670">
        <w:t>en</w:t>
      </w:r>
      <w:r w:rsidRPr="009D0AB4">
        <w:t xml:space="preserve"> av fremtidige saker. </w:t>
      </w:r>
      <w:r w:rsidR="00170E35">
        <w:t xml:space="preserve">Dette gjelder særlig for </w:t>
      </w:r>
      <w:r w:rsidRPr="009D0AB4">
        <w:t xml:space="preserve">Høyesteretts avgjørelser. </w:t>
      </w:r>
      <w:r w:rsidR="0066170D" w:rsidRPr="009D0AB4">
        <w:t xml:space="preserve">Har </w:t>
      </w:r>
      <w:r w:rsidRPr="009D0AB4">
        <w:t xml:space="preserve">Høyesterett tatt stilling til et </w:t>
      </w:r>
      <w:r w:rsidR="0066170D" w:rsidRPr="009D0AB4">
        <w:t xml:space="preserve">tolkningsspørsmål, </w:t>
      </w:r>
      <w:r w:rsidRPr="009D0AB4">
        <w:t xml:space="preserve">vil </w:t>
      </w:r>
      <w:r w:rsidR="008D2670">
        <w:t>dommen</w:t>
      </w:r>
      <w:r w:rsidRPr="009D0AB4">
        <w:t xml:space="preserve"> normalt bli ansett som et prejudikat</w:t>
      </w:r>
      <w:r w:rsidR="002C3EC7">
        <w:t>. Det vil si</w:t>
      </w:r>
      <w:r w:rsidRPr="009D0AB4">
        <w:t xml:space="preserve"> at </w:t>
      </w:r>
      <w:r w:rsidR="008D2670">
        <w:t>dommen</w:t>
      </w:r>
      <w:r w:rsidRPr="009D0AB4">
        <w:t xml:space="preserve"> er</w:t>
      </w:r>
      <w:r w:rsidR="0020478D">
        <w:t xml:space="preserve"> retningsgivende</w:t>
      </w:r>
      <w:r w:rsidRPr="009D0AB4">
        <w:t xml:space="preserve"> for li</w:t>
      </w:r>
      <w:r w:rsidR="008D2670">
        <w:t>gnende</w:t>
      </w:r>
      <w:r w:rsidRPr="009D0AB4">
        <w:t xml:space="preserve"> saker</w:t>
      </w:r>
      <w:r w:rsidR="002C3EC7">
        <w:t xml:space="preserve"> og at Høyesteretts tolkning blir fulgt</w:t>
      </w:r>
      <w:r w:rsidR="00170E35">
        <w:t>.</w:t>
      </w:r>
      <w:r w:rsidRPr="009D0AB4">
        <w:t xml:space="preserve"> Det er </w:t>
      </w:r>
      <w:r w:rsidR="00CC4B1F">
        <w:t>mange</w:t>
      </w:r>
      <w:r w:rsidR="00010924" w:rsidRPr="009D0AB4">
        <w:t xml:space="preserve"> </w:t>
      </w:r>
      <w:r w:rsidR="00170E35">
        <w:t>h</w:t>
      </w:r>
      <w:r w:rsidRPr="009D0AB4">
        <w:t>øyesterettsavgjørelser på utlendingsrettens omr</w:t>
      </w:r>
      <w:r w:rsidR="00CF4E7B" w:rsidRPr="009D0AB4">
        <w:t>å</w:t>
      </w:r>
      <w:r w:rsidRPr="009D0AB4">
        <w:t>de</w:t>
      </w:r>
      <w:r w:rsidR="00B51FB0">
        <w:t>.</w:t>
      </w:r>
    </w:p>
    <w:p w14:paraId="4EE4401E" w14:textId="1FF47397" w:rsidR="0018168D" w:rsidRDefault="0018168D" w:rsidP="009D0AB4"/>
    <w:p w14:paraId="257C9584" w14:textId="77777777" w:rsidR="00A248E4" w:rsidRDefault="00DC77C6" w:rsidP="009D0AB4">
      <w:r>
        <w:t xml:space="preserve">De fleste dommene på utlendingsfeltet kommer fra </w:t>
      </w:r>
      <w:r w:rsidR="00170E35">
        <w:t xml:space="preserve">Oslo tingrett og Borgarting lagmannsrett. </w:t>
      </w:r>
      <w:r>
        <w:t xml:space="preserve">Slike dommer </w:t>
      </w:r>
      <w:r w:rsidR="00A248E4" w:rsidRPr="009D0AB4">
        <w:t>vil</w:t>
      </w:r>
      <w:r w:rsidR="00CF4E7B" w:rsidRPr="009D0AB4">
        <w:t xml:space="preserve"> også </w:t>
      </w:r>
      <w:r>
        <w:t>ha</w:t>
      </w:r>
      <w:r w:rsidR="00CF4E7B" w:rsidRPr="009D0AB4">
        <w:t xml:space="preserve"> </w:t>
      </w:r>
      <w:r w:rsidR="00A248E4" w:rsidRPr="009D0AB4">
        <w:t>betydning som rettskilde</w:t>
      </w:r>
      <w:r w:rsidR="00271E97" w:rsidRPr="009D0AB4">
        <w:t xml:space="preserve">, </w:t>
      </w:r>
      <w:r w:rsidR="00A248E4" w:rsidRPr="009D0AB4">
        <w:t xml:space="preserve">særlig når flere rettsavgjørelser trekker i samme retning. </w:t>
      </w:r>
      <w:r w:rsidR="00170E35">
        <w:t>Dommer fra lagmannsretten har større betydning enn dommer fra tingretten</w:t>
      </w:r>
      <w:r w:rsidR="0018168D">
        <w:t xml:space="preserve">, og enstemmige dommer vil </w:t>
      </w:r>
      <w:r w:rsidR="00506BC1">
        <w:t xml:space="preserve">gjerne </w:t>
      </w:r>
      <w:r w:rsidR="0018168D">
        <w:t>ha større vekt enn dommer der det er uenighet.</w:t>
      </w:r>
    </w:p>
    <w:p w14:paraId="3780C1E5" w14:textId="77777777" w:rsidR="00A248E4" w:rsidRDefault="00A248E4" w:rsidP="00A248E4"/>
    <w:p w14:paraId="619B38F8" w14:textId="77777777" w:rsidR="003E3E0B" w:rsidRPr="00DB6D6C" w:rsidRDefault="008374D7" w:rsidP="00DB6D6C">
      <w:pPr>
        <w:pStyle w:val="Overskrift2"/>
        <w:rPr>
          <w:i w:val="0"/>
        </w:rPr>
      </w:pPr>
      <w:r w:rsidRPr="00DB6D6C">
        <w:rPr>
          <w:i w:val="0"/>
        </w:rPr>
        <w:t xml:space="preserve">Utlendingsmyndighetenes </w:t>
      </w:r>
      <w:r w:rsidR="00A248E4" w:rsidRPr="00DB6D6C">
        <w:rPr>
          <w:i w:val="0"/>
        </w:rPr>
        <w:t>praksis</w:t>
      </w:r>
      <w:r w:rsidR="00A248E4" w:rsidRPr="00DB6D6C">
        <w:rPr>
          <w:i w:val="0"/>
          <w:spacing w:val="45"/>
        </w:rPr>
        <w:t xml:space="preserve"> </w:t>
      </w:r>
    </w:p>
    <w:p w14:paraId="1AE56693" w14:textId="77777777" w:rsidR="00DC6A1A" w:rsidRDefault="008D2670" w:rsidP="006356E2">
      <w:r>
        <w:t>Myndighetenes</w:t>
      </w:r>
      <w:r w:rsidR="00A248E4" w:rsidRPr="009D0AB4">
        <w:t xml:space="preserve"> egen praksis er ofte en praktisk veileder når man skal vurdere en sak.</w:t>
      </w:r>
      <w:r w:rsidR="00A248E4" w:rsidRPr="00AE2FF3">
        <w:t xml:space="preserve"> </w:t>
      </w:r>
      <w:r w:rsidR="00DC6A1A">
        <w:t xml:space="preserve">Dels er </w:t>
      </w:r>
      <w:proofErr w:type="spellStart"/>
      <w:r>
        <w:t>UNEs</w:t>
      </w:r>
      <w:proofErr w:type="spellEnd"/>
      <w:r>
        <w:t xml:space="preserve"> </w:t>
      </w:r>
      <w:r w:rsidR="00DC6A1A">
        <w:t>praksis en rettskilde i en samlet vurdering av et rettsspørsmål. Men UNE er også forpliktet til å</w:t>
      </w:r>
      <w:r w:rsidR="00F72DD6">
        <w:t xml:space="preserve"> unngå usaklig forskjellsbehandling og tilstrebe lik behandling av likeartete saker.</w:t>
      </w:r>
      <w:r w:rsidR="00DC6A1A">
        <w:t xml:space="preserve"> Derfor har</w:t>
      </w:r>
      <w:r w:rsidR="00F72DD6">
        <w:t xml:space="preserve"> </w:t>
      </w:r>
      <w:proofErr w:type="spellStart"/>
      <w:r w:rsidR="00F72DD6">
        <w:t>UNEs</w:t>
      </w:r>
      <w:proofErr w:type="spellEnd"/>
      <w:r w:rsidR="00DC6A1A">
        <w:t xml:space="preserve"> egen praksis stor betydning for oss. Vi må kjenne praksis for ikke å forskjellsbehandle klagere på usaklig grunnlag. Samtidig kan praksis også utvikle seg over tid.</w:t>
      </w:r>
      <w:r w:rsidR="00F72DD6">
        <w:t xml:space="preserve"> Hver sak behandles individuelt, og selv om en sak har likhetstrekk med en annen sak, kan det være </w:t>
      </w:r>
      <w:r w:rsidR="00832C1D">
        <w:t>gode</w:t>
      </w:r>
      <w:r w:rsidR="00F72DD6">
        <w:t xml:space="preserve"> grunner for ulike utfall. I et nemndsystem med selvstendige beslutningstakere kan det også forekomme at to ganske like saker får ulike utfall, uten at det er brudd på likebehandlingsprinsippet. </w:t>
      </w:r>
    </w:p>
    <w:p w14:paraId="6D9CDF21" w14:textId="77777777" w:rsidR="00DC6A1A" w:rsidRDefault="00DC6A1A" w:rsidP="006356E2"/>
    <w:p w14:paraId="3628EB00" w14:textId="77777777" w:rsidR="00592787" w:rsidRDefault="00A248E4" w:rsidP="006356E2">
      <w:r w:rsidRPr="00AE2FF3">
        <w:t>En praksis er mer forpliktende som rettskilde dersom mange saker tidligere har blitt avgjort på en bestemt måte</w:t>
      </w:r>
      <w:r w:rsidR="005C5FF8">
        <w:t>,</w:t>
      </w:r>
      <w:r w:rsidRPr="00AE2FF3">
        <w:t xml:space="preserve"> </w:t>
      </w:r>
      <w:r w:rsidR="005A621D">
        <w:t>og særlig</w:t>
      </w:r>
      <w:r w:rsidRPr="00AE2FF3">
        <w:t xml:space="preserve"> </w:t>
      </w:r>
      <w:r w:rsidR="005C5FF8">
        <w:t>dersom</w:t>
      </w:r>
      <w:r w:rsidRPr="00AE2FF3">
        <w:t xml:space="preserve"> avgjørelsene over lang tid </w:t>
      </w:r>
      <w:r w:rsidR="005A621D">
        <w:t xml:space="preserve">også </w:t>
      </w:r>
      <w:r w:rsidRPr="00AE2FF3">
        <w:t>har vært konsistente</w:t>
      </w:r>
      <w:r w:rsidR="00832C1D">
        <w:t>. Forutsetningen er at</w:t>
      </w:r>
      <w:r w:rsidR="00337296">
        <w:t xml:space="preserve"> det ikke har skjedd endringer i landinformasjonen eller regelverket</w:t>
      </w:r>
      <w:r w:rsidRPr="00AE2FF3">
        <w:t>.</w:t>
      </w:r>
      <w:r w:rsidR="00FC04E6" w:rsidRPr="00AE2FF3">
        <w:t xml:space="preserve"> </w:t>
      </w:r>
      <w:r w:rsidR="005C5FF8">
        <w:t xml:space="preserve">UNE vil som regel ha oversikt over dette, blant annet gjennom </w:t>
      </w:r>
      <w:r w:rsidR="005A621D">
        <w:t xml:space="preserve">praksisoversikter, </w:t>
      </w:r>
      <w:r w:rsidR="005C5FF8" w:rsidRPr="00AE2FF3">
        <w:t>notater</w:t>
      </w:r>
      <w:r w:rsidR="005C5FF8">
        <w:t xml:space="preserve"> og</w:t>
      </w:r>
      <w:r w:rsidR="005C5FF8" w:rsidRPr="00AE2FF3">
        <w:t xml:space="preserve"> </w:t>
      </w:r>
      <w:r w:rsidR="005A621D">
        <w:t xml:space="preserve">ulike typer av </w:t>
      </w:r>
      <w:r w:rsidR="005C5FF8" w:rsidRPr="00AE2FF3">
        <w:t>rapporter</w:t>
      </w:r>
      <w:r w:rsidR="005C5FF8">
        <w:t>.</w:t>
      </w:r>
      <w:r w:rsidR="005C5FF8" w:rsidRPr="00AE2FF3">
        <w:t xml:space="preserve"> </w:t>
      </w:r>
      <w:r w:rsidR="00832C1D">
        <w:t xml:space="preserve">Enkelte er </w:t>
      </w:r>
      <w:r w:rsidR="00DC6A1A">
        <w:t xml:space="preserve">publisert på </w:t>
      </w:r>
      <w:hyperlink r:id="rId14" w:history="1">
        <w:r w:rsidR="00DC6A1A" w:rsidRPr="00F45195">
          <w:rPr>
            <w:rStyle w:val="Hyperkobling"/>
          </w:rPr>
          <w:t>www.une.no</w:t>
        </w:r>
      </w:hyperlink>
      <w:r w:rsidR="00DC6A1A">
        <w:t xml:space="preserve">. </w:t>
      </w:r>
      <w:r w:rsidR="005A621D" w:rsidRPr="00AE2FF3">
        <w:t xml:space="preserve">Eksempler fra </w:t>
      </w:r>
      <w:proofErr w:type="spellStart"/>
      <w:r w:rsidR="005A621D" w:rsidRPr="00AE2FF3">
        <w:t>UNEs</w:t>
      </w:r>
      <w:proofErr w:type="spellEnd"/>
      <w:r w:rsidR="005A621D" w:rsidRPr="00AE2FF3">
        <w:t xml:space="preserve"> praksis er </w:t>
      </w:r>
      <w:r w:rsidR="00DC6A1A">
        <w:t xml:space="preserve">også </w:t>
      </w:r>
      <w:r w:rsidR="005A621D" w:rsidRPr="00AE2FF3">
        <w:t>gjort tilgjengelig gjennom anonymiserte sammendrag av vedtak lagt inn i praksisbasen på</w:t>
      </w:r>
      <w:r w:rsidR="005A621D">
        <w:t xml:space="preserve"> </w:t>
      </w:r>
      <w:r w:rsidR="00592787">
        <w:t>nettstedet.</w:t>
      </w:r>
      <w:r w:rsidR="008D2670">
        <w:t xml:space="preserve"> </w:t>
      </w:r>
      <w:r w:rsidR="0018168D">
        <w:t>Enkeltsaker som ligger her</w:t>
      </w:r>
      <w:r w:rsidR="006A22BE">
        <w:t>,</w:t>
      </w:r>
      <w:r w:rsidR="0018168D">
        <w:t xml:space="preserve"> gir imidlertid </w:t>
      </w:r>
      <w:r w:rsidR="00337296">
        <w:t>ikke hver for seg en</w:t>
      </w:r>
      <w:r w:rsidR="0018168D">
        <w:t xml:space="preserve"> veiledning om generell praksis – de er jo </w:t>
      </w:r>
      <w:r w:rsidR="00506BC1">
        <w:t xml:space="preserve">nettopp </w:t>
      </w:r>
      <w:r w:rsidR="0018168D">
        <w:t>bare enkeltsaker.</w:t>
      </w:r>
    </w:p>
    <w:p w14:paraId="5ACC3C22" w14:textId="77777777" w:rsidR="008D2670" w:rsidRDefault="008D2670" w:rsidP="006356E2"/>
    <w:p w14:paraId="682BDC16" w14:textId="77777777" w:rsidR="008D2670" w:rsidRDefault="008D2670" w:rsidP="008D2670">
      <w:r w:rsidRPr="009D0AB4">
        <w:t xml:space="preserve">Vedtak i </w:t>
      </w:r>
      <w:proofErr w:type="spellStart"/>
      <w:r w:rsidRPr="009D0AB4">
        <w:t>UNEs</w:t>
      </w:r>
      <w:proofErr w:type="spellEnd"/>
      <w:r w:rsidRPr="009D0AB4">
        <w:t xml:space="preserve"> stornemnd </w:t>
      </w:r>
      <w:r>
        <w:t xml:space="preserve">– som består av 7 beslutningstakere – står i en særstilling som rettskilde fordi de </w:t>
      </w:r>
      <w:r w:rsidRPr="009D0AB4">
        <w:t>har presedensvirkning for etterfølgende saker</w:t>
      </w:r>
      <w:r>
        <w:t>.</w:t>
      </w:r>
      <w:r w:rsidRPr="00AE2FF3">
        <w:t xml:space="preserve"> </w:t>
      </w:r>
      <w:r>
        <w:t>P</w:t>
      </w:r>
      <w:r w:rsidRPr="00AE2FF3">
        <w:t xml:space="preserve">rinsipielle avklaringer </w:t>
      </w:r>
      <w:r>
        <w:t xml:space="preserve">som </w:t>
      </w:r>
      <w:r w:rsidRPr="00AE2FF3">
        <w:t>stornemnda har foretatt</w:t>
      </w:r>
      <w:r>
        <w:t>,</w:t>
      </w:r>
      <w:r w:rsidRPr="00AE2FF3">
        <w:t xml:space="preserve"> vil </w:t>
      </w:r>
      <w:r>
        <w:t xml:space="preserve">gå </w:t>
      </w:r>
      <w:r w:rsidRPr="00AE2FF3">
        <w:t xml:space="preserve">frem av vedtaket. </w:t>
      </w:r>
    </w:p>
    <w:p w14:paraId="75A71BDE" w14:textId="77777777" w:rsidR="00A248E4" w:rsidRDefault="00A248E4" w:rsidP="00A248E4"/>
    <w:p w14:paraId="26E518B9" w14:textId="0873D864" w:rsidR="00A248E4" w:rsidRPr="00DB6D6C" w:rsidRDefault="00A248E4" w:rsidP="00DB6D6C">
      <w:pPr>
        <w:pStyle w:val="Overskrift2"/>
        <w:rPr>
          <w:i w:val="0"/>
          <w:spacing w:val="13"/>
        </w:rPr>
      </w:pPr>
      <w:r w:rsidRPr="40F63F68">
        <w:rPr>
          <w:i w:val="0"/>
          <w:iCs w:val="0"/>
        </w:rPr>
        <w:t>Sivilombud</w:t>
      </w:r>
      <w:r w:rsidR="007D50F6" w:rsidRPr="40F63F68">
        <w:rPr>
          <w:i w:val="0"/>
          <w:iCs w:val="0"/>
        </w:rPr>
        <w:t>ets</w:t>
      </w:r>
      <w:r w:rsidRPr="40F63F68">
        <w:rPr>
          <w:i w:val="0"/>
          <w:iCs w:val="0"/>
        </w:rPr>
        <w:t xml:space="preserve"> </w:t>
      </w:r>
      <w:r w:rsidRPr="40F63F68">
        <w:rPr>
          <w:i w:val="0"/>
          <w:iCs w:val="0"/>
          <w:spacing w:val="13"/>
        </w:rPr>
        <w:t>uttalelser</w:t>
      </w:r>
    </w:p>
    <w:p w14:paraId="3DF23B76" w14:textId="474E552B" w:rsidR="00A248E4" w:rsidRPr="00485C53" w:rsidRDefault="00A248E4" w:rsidP="00A248E4">
      <w:r w:rsidRPr="00860D67">
        <w:t xml:space="preserve">Stortingets </w:t>
      </w:r>
      <w:r>
        <w:t>ombud</w:t>
      </w:r>
      <w:r w:rsidRPr="00860D67">
        <w:t xml:space="preserve"> for </w:t>
      </w:r>
      <w:r w:rsidR="00072BA9">
        <w:t xml:space="preserve">kontroll med </w:t>
      </w:r>
      <w:r w:rsidRPr="00860D67">
        <w:t>forvaltningen</w:t>
      </w:r>
      <w:r w:rsidR="004A4432">
        <w:t>, tidligere kalt Sivilombudsmannen,</w:t>
      </w:r>
      <w:r w:rsidRPr="00860D67">
        <w:t xml:space="preserve"> har i oppgave å føre kontroll med </w:t>
      </w:r>
      <w:r w:rsidR="004845E8">
        <w:t>forvaltningsorganer slik som UNE</w:t>
      </w:r>
      <w:r>
        <w:t>. Ombud</w:t>
      </w:r>
      <w:r w:rsidR="00FC59FD">
        <w:t>ets</w:t>
      </w:r>
      <w:r w:rsidRPr="00860D67">
        <w:t xml:space="preserve"> uttalelser har ikke bindende virkning, men vil </w:t>
      </w:r>
      <w:r w:rsidR="004845E8">
        <w:t>i praksis</w:t>
      </w:r>
      <w:r w:rsidRPr="00860D67">
        <w:t xml:space="preserve"> bli fulgt i den enkeltsaken uttalelsen gjelder. </w:t>
      </w:r>
      <w:r w:rsidR="004845E8">
        <w:t xml:space="preserve">Uttalelsene vil også ha </w:t>
      </w:r>
      <w:r w:rsidRPr="00860D67">
        <w:t xml:space="preserve">betydning </w:t>
      </w:r>
      <w:r w:rsidR="004845E8">
        <w:t xml:space="preserve">ut over den enkelte sak: </w:t>
      </w:r>
      <w:r w:rsidR="00DC77C6">
        <w:t>UNE vil som hovedregel rette seg etter ombud</w:t>
      </w:r>
      <w:r w:rsidR="00FC59FD">
        <w:t>ets</w:t>
      </w:r>
      <w:r w:rsidR="00DC77C6">
        <w:t xml:space="preserve"> rettsoppfatning.</w:t>
      </w:r>
      <w:r w:rsidR="00440AF5">
        <w:t xml:space="preserve"> Se </w:t>
      </w:r>
      <w:hyperlink r:id="rId15" w:history="1">
        <w:r w:rsidR="00440AF5" w:rsidRPr="00BB0AD4">
          <w:rPr>
            <w:rStyle w:val="Hyperkobling"/>
          </w:rPr>
          <w:t>www.sivilombudet.no</w:t>
        </w:r>
      </w:hyperlink>
      <w:r w:rsidR="00440AF5">
        <w:t xml:space="preserve">. </w:t>
      </w:r>
    </w:p>
    <w:p w14:paraId="10DFF7EF" w14:textId="77777777" w:rsidR="00A248E4" w:rsidRPr="006356E2" w:rsidRDefault="00A248E4" w:rsidP="00A248E4">
      <w:pPr>
        <w:rPr>
          <w:b/>
        </w:rPr>
      </w:pPr>
    </w:p>
    <w:p w14:paraId="7B374C09" w14:textId="77777777" w:rsidR="00A248E4" w:rsidRPr="00DB6D6C" w:rsidRDefault="00A248E4" w:rsidP="00DB6D6C">
      <w:pPr>
        <w:pStyle w:val="Overskrift2"/>
        <w:rPr>
          <w:i w:val="0"/>
          <w:w w:val="109"/>
        </w:rPr>
      </w:pPr>
      <w:r w:rsidRPr="00DB6D6C">
        <w:rPr>
          <w:i w:val="0"/>
        </w:rPr>
        <w:t>Juridisk</w:t>
      </w:r>
      <w:r w:rsidRPr="00DB6D6C">
        <w:rPr>
          <w:i w:val="0"/>
          <w:spacing w:val="49"/>
        </w:rPr>
        <w:t xml:space="preserve"> </w:t>
      </w:r>
      <w:r w:rsidRPr="00DB6D6C">
        <w:rPr>
          <w:i w:val="0"/>
          <w:w w:val="109"/>
        </w:rPr>
        <w:t>teori</w:t>
      </w:r>
    </w:p>
    <w:p w14:paraId="46A5D6FC" w14:textId="015B661C" w:rsidR="00807D3E" w:rsidRDefault="00A248E4" w:rsidP="00807D3E">
      <w:r w:rsidRPr="00860D67">
        <w:t xml:space="preserve">Det </w:t>
      </w:r>
      <w:r>
        <w:t>er</w:t>
      </w:r>
      <w:r w:rsidRPr="00860D67">
        <w:t xml:space="preserve"> </w:t>
      </w:r>
      <w:r w:rsidR="001A459C" w:rsidRPr="00860D67">
        <w:t xml:space="preserve">omfattende </w:t>
      </w:r>
      <w:r w:rsidRPr="00860D67">
        <w:t>litteratur på utlendingsområde</w:t>
      </w:r>
      <w:r w:rsidR="00180BF3" w:rsidRPr="00860D67">
        <w:t>t</w:t>
      </w:r>
      <w:r>
        <w:t>.</w:t>
      </w:r>
      <w:r w:rsidRPr="00860D67">
        <w:t xml:space="preserve"> </w:t>
      </w:r>
      <w:r w:rsidR="00822E5C">
        <w:t xml:space="preserve">Generelle oppslagsverker er Øyen (red): </w:t>
      </w:r>
      <w:r w:rsidR="00822E5C" w:rsidRPr="40F63F68">
        <w:rPr>
          <w:i/>
        </w:rPr>
        <w:t>Lærebok i utlendingsrett</w:t>
      </w:r>
      <w:r w:rsidR="00822E5C">
        <w:t xml:space="preserve"> (20</w:t>
      </w:r>
      <w:r w:rsidR="00807D3E">
        <w:t>22</w:t>
      </w:r>
      <w:r w:rsidR="00822E5C">
        <w:t>)</w:t>
      </w:r>
      <w:r w:rsidR="00C21239">
        <w:t xml:space="preserve">, </w:t>
      </w:r>
      <w:r w:rsidR="00807D3E">
        <w:t>V.</w:t>
      </w:r>
      <w:r w:rsidR="00807D3E" w:rsidRPr="00860D67">
        <w:t xml:space="preserve"> </w:t>
      </w:r>
      <w:r w:rsidR="00807D3E">
        <w:t>Vevstad (Red.):</w:t>
      </w:r>
      <w:r w:rsidR="00807D3E" w:rsidRPr="00860D67">
        <w:t xml:space="preserve"> </w:t>
      </w:r>
      <w:r w:rsidR="00807D3E" w:rsidRPr="40F63F68">
        <w:rPr>
          <w:i/>
        </w:rPr>
        <w:t>Utlendingsloven, Kommentarutgave</w:t>
      </w:r>
      <w:r w:rsidR="00807D3E">
        <w:t xml:space="preserve"> (2010)</w:t>
      </w:r>
      <w:r w:rsidR="00C21239">
        <w:t xml:space="preserve"> og </w:t>
      </w:r>
      <w:r w:rsidR="00C21239" w:rsidRPr="00860D67">
        <w:t xml:space="preserve">Bunæs/Ottesen </w:t>
      </w:r>
      <w:proofErr w:type="spellStart"/>
      <w:r w:rsidR="00C21239" w:rsidRPr="00860D67">
        <w:t>Kvigne</w:t>
      </w:r>
      <w:proofErr w:type="spellEnd"/>
      <w:r w:rsidR="00C21239" w:rsidRPr="00860D67">
        <w:t>/Vandvik (red.):</w:t>
      </w:r>
      <w:r w:rsidR="00C21239">
        <w:t xml:space="preserve"> </w:t>
      </w:r>
      <w:r w:rsidR="00C21239" w:rsidRPr="00126F39">
        <w:rPr>
          <w:i/>
          <w:iCs/>
        </w:rPr>
        <w:t xml:space="preserve">Utlendingsrett </w:t>
      </w:r>
      <w:r w:rsidR="00C21239">
        <w:t>(2004)</w:t>
      </w:r>
      <w:r w:rsidR="00286F18">
        <w:t xml:space="preserve">. </w:t>
      </w:r>
    </w:p>
    <w:p w14:paraId="5DA7F922" w14:textId="100D6D0A" w:rsidR="004978AF" w:rsidRDefault="004978AF" w:rsidP="00807D3E"/>
    <w:p w14:paraId="54266ABE" w14:textId="586AC759" w:rsidR="00A248E4" w:rsidRPr="006356E2" w:rsidRDefault="004978AF" w:rsidP="00A248E4">
      <w:r>
        <w:t xml:space="preserve">Mer dyptpløyende fremstillinger av enkelte </w:t>
      </w:r>
      <w:r w:rsidR="00AE7339">
        <w:t>emner</w:t>
      </w:r>
      <w:r>
        <w:t xml:space="preserve"> er blant </w:t>
      </w:r>
      <w:r w:rsidR="00BC1FDF" w:rsidRPr="00860D67" w:rsidDel="00B239AB">
        <w:t>annet</w:t>
      </w:r>
      <w:r w:rsidR="00180BF3" w:rsidRPr="00860D67">
        <w:t xml:space="preserve"> </w:t>
      </w:r>
      <w:r w:rsidR="001A459C" w:rsidRPr="00860D67">
        <w:t xml:space="preserve">T. Einarsen: </w:t>
      </w:r>
      <w:r w:rsidR="001A459C" w:rsidRPr="40F63F68">
        <w:rPr>
          <w:i/>
        </w:rPr>
        <w:t>Retten til vern som flyktning</w:t>
      </w:r>
      <w:r w:rsidR="001A459C" w:rsidRPr="00860D67">
        <w:t xml:space="preserve"> </w:t>
      </w:r>
      <w:r w:rsidR="00C76E78" w:rsidRPr="00860D67">
        <w:t>(</w:t>
      </w:r>
      <w:r w:rsidR="001A459C" w:rsidRPr="00860D67">
        <w:t>2000</w:t>
      </w:r>
      <w:r w:rsidR="00C76E78">
        <w:t>)</w:t>
      </w:r>
      <w:r w:rsidR="00D87891">
        <w:t>,</w:t>
      </w:r>
      <w:r w:rsidR="00B239AB">
        <w:t xml:space="preserve"> </w:t>
      </w:r>
      <w:r w:rsidR="00D17FD0">
        <w:t xml:space="preserve">Mona </w:t>
      </w:r>
      <w:proofErr w:type="spellStart"/>
      <w:r w:rsidR="00D17FD0">
        <w:t>Martnes</w:t>
      </w:r>
      <w:proofErr w:type="spellEnd"/>
      <w:r w:rsidR="00D17FD0">
        <w:t xml:space="preserve">: </w:t>
      </w:r>
      <w:r w:rsidR="005F7AEA">
        <w:rPr>
          <w:i/>
          <w:iCs/>
        </w:rPr>
        <w:t>Barnets</w:t>
      </w:r>
      <w:r w:rsidR="005F7AEA" w:rsidRPr="00413E62">
        <w:rPr>
          <w:i/>
          <w:iCs/>
        </w:rPr>
        <w:t xml:space="preserve"> beste</w:t>
      </w:r>
      <w:r w:rsidR="00651CD6">
        <w:t xml:space="preserve"> (202</w:t>
      </w:r>
      <w:r w:rsidR="000338DC">
        <w:t>1</w:t>
      </w:r>
      <w:r w:rsidR="00651CD6">
        <w:t>)</w:t>
      </w:r>
      <w:r w:rsidR="00C27BA5">
        <w:t xml:space="preserve"> og </w:t>
      </w:r>
      <w:proofErr w:type="spellStart"/>
      <w:r w:rsidR="00C27BA5">
        <w:t>Baklund</w:t>
      </w:r>
      <w:proofErr w:type="spellEnd"/>
      <w:r w:rsidR="00C27BA5">
        <w:t xml:space="preserve">, Bordvik og Røyneberg: </w:t>
      </w:r>
      <w:r w:rsidR="00B239AB" w:rsidRPr="00D17FD0">
        <w:rPr>
          <w:i/>
          <w:iCs/>
        </w:rPr>
        <w:t>Utvisning,</w:t>
      </w:r>
      <w:r w:rsidR="00B239AB">
        <w:rPr>
          <w:i/>
          <w:iCs/>
        </w:rPr>
        <w:t xml:space="preserve"> tvangsmidler og straff</w:t>
      </w:r>
      <w:r w:rsidR="00442C16">
        <w:rPr>
          <w:i/>
          <w:iCs/>
        </w:rPr>
        <w:t xml:space="preserve"> </w:t>
      </w:r>
      <w:r w:rsidR="00442C16">
        <w:t>(2019)</w:t>
      </w:r>
      <w:r w:rsidR="00C27BA5">
        <w:t>.</w:t>
      </w:r>
      <w:r w:rsidR="00442C16">
        <w:t xml:space="preserve"> </w:t>
      </w:r>
    </w:p>
    <w:p w14:paraId="60D9E293" w14:textId="77777777" w:rsidR="00A248E4" w:rsidRPr="00DB6D6C" w:rsidRDefault="00A248E4" w:rsidP="00DB6D6C">
      <w:pPr>
        <w:pStyle w:val="Overskrift2"/>
        <w:rPr>
          <w:i w:val="0"/>
          <w:w w:val="102"/>
        </w:rPr>
      </w:pPr>
      <w:r w:rsidRPr="00DB6D6C">
        <w:rPr>
          <w:i w:val="0"/>
        </w:rPr>
        <w:t>Reelle</w:t>
      </w:r>
      <w:r w:rsidRPr="00DB6D6C">
        <w:rPr>
          <w:i w:val="0"/>
          <w:spacing w:val="6"/>
        </w:rPr>
        <w:t xml:space="preserve"> </w:t>
      </w:r>
      <w:r w:rsidRPr="00DB6D6C">
        <w:rPr>
          <w:i w:val="0"/>
          <w:w w:val="102"/>
        </w:rPr>
        <w:t>hensyn</w:t>
      </w:r>
    </w:p>
    <w:p w14:paraId="21D5FC4B" w14:textId="21270F9A" w:rsidR="00E91A8D" w:rsidRDefault="00A248E4" w:rsidP="00337296">
      <w:r w:rsidRPr="00860D67">
        <w:t xml:space="preserve">Med reelle hensyn </w:t>
      </w:r>
      <w:r w:rsidR="002C3EC7">
        <w:t>menes</w:t>
      </w:r>
      <w:r w:rsidR="00337296">
        <w:t xml:space="preserve"> gjerne</w:t>
      </w:r>
      <w:r w:rsidRPr="00860D67">
        <w:t xml:space="preserve"> vurderinger knyttet til hva som er</w:t>
      </w:r>
      <w:r w:rsidR="00337296">
        <w:t xml:space="preserve"> rimelig og fornuftig, dersom regelens ordlyd ikke gir et klart resultat i den aktuelle saken. Målet er å komme fram til et </w:t>
      </w:r>
      <w:r w:rsidRPr="00860D67">
        <w:t xml:space="preserve">"riktig" resultat. </w:t>
      </w:r>
      <w:r w:rsidR="000E75BD">
        <w:t>Slike</w:t>
      </w:r>
      <w:r w:rsidR="002C3EC7" w:rsidDel="000E75BD">
        <w:t xml:space="preserve"> </w:t>
      </w:r>
      <w:r w:rsidRPr="00860D67">
        <w:t>hensyn</w:t>
      </w:r>
      <w:r w:rsidR="000E75BD">
        <w:t xml:space="preserve"> kan være</w:t>
      </w:r>
      <w:r w:rsidRPr="00860D67">
        <w:t xml:space="preserve"> rettferdighet, rettssikkerhet, rimelighet, forutsigbarhet, lik</w:t>
      </w:r>
      <w:r w:rsidR="002C3EC7">
        <w:t>e</w:t>
      </w:r>
      <w:r w:rsidRPr="00860D67">
        <w:t xml:space="preserve">behandling, </w:t>
      </w:r>
      <w:r w:rsidR="00301C26">
        <w:t>kontroll og</w:t>
      </w:r>
      <w:r w:rsidR="00301C26" w:rsidDel="008A48C8">
        <w:t xml:space="preserve"> </w:t>
      </w:r>
      <w:r w:rsidRPr="00860D67">
        <w:t xml:space="preserve">konsekvens og harmoni i </w:t>
      </w:r>
      <w:r w:rsidR="00DC183E">
        <w:t xml:space="preserve">den enkelte lov og i </w:t>
      </w:r>
      <w:r w:rsidRPr="00860D67">
        <w:t>rettssystemet</w:t>
      </w:r>
      <w:r w:rsidRPr="00785943">
        <w:rPr>
          <w:w w:val="101"/>
        </w:rPr>
        <w:t>.</w:t>
      </w:r>
      <w:r w:rsidR="004B462F">
        <w:rPr>
          <w:w w:val="101"/>
        </w:rPr>
        <w:t xml:space="preserve"> </w:t>
      </w:r>
      <w:r w:rsidR="00DC183E">
        <w:rPr>
          <w:w w:val="101"/>
        </w:rPr>
        <w:t>Formålet med loven og den enkelte rettsregel er ofte et sentralt hensyn. I utlendingsloven står følgende:</w:t>
      </w:r>
    </w:p>
    <w:p w14:paraId="293C8963" w14:textId="77777777" w:rsidR="00DC183E" w:rsidRPr="002A161A" w:rsidRDefault="00DC183E" w:rsidP="004B462F">
      <w:pPr>
        <w:rPr>
          <w:i/>
          <w:w w:val="101"/>
        </w:rPr>
      </w:pPr>
    </w:p>
    <w:p w14:paraId="126F6107" w14:textId="77777777" w:rsidR="00DC183E" w:rsidRPr="002A161A" w:rsidRDefault="00DC183E" w:rsidP="00DC183E">
      <w:pPr>
        <w:rPr>
          <w:i/>
          <w:w w:val="101"/>
        </w:rPr>
      </w:pPr>
      <w:r w:rsidRPr="002A161A">
        <w:rPr>
          <w:i/>
          <w:w w:val="101"/>
        </w:rPr>
        <w:tab/>
        <w:t xml:space="preserve">§ 1. Lovens formål </w:t>
      </w:r>
    </w:p>
    <w:p w14:paraId="55E9F6A6" w14:textId="77777777" w:rsidR="00DC183E" w:rsidRPr="002A161A" w:rsidRDefault="00DC183E" w:rsidP="0AE5F34A">
      <w:pPr>
        <w:rPr>
          <w:i/>
          <w:iCs/>
          <w:w w:val="101"/>
        </w:rPr>
      </w:pPr>
      <w:r w:rsidRPr="002A161A">
        <w:rPr>
          <w:i/>
          <w:w w:val="101"/>
        </w:rPr>
        <w:tab/>
      </w:r>
      <w:r w:rsidR="528613C1" w:rsidRPr="0AE5F34A">
        <w:rPr>
          <w:i/>
          <w:iCs/>
          <w:w w:val="101"/>
        </w:rPr>
        <w:t xml:space="preserve">Loven skal gi grunnlag for regulering av og kontroll med inn- og utreise, og </w:t>
      </w:r>
      <w:r w:rsidRPr="002A161A">
        <w:rPr>
          <w:i/>
          <w:w w:val="101"/>
        </w:rPr>
        <w:tab/>
      </w:r>
      <w:r w:rsidR="528613C1" w:rsidRPr="0AE5F34A">
        <w:rPr>
          <w:i/>
          <w:iCs/>
          <w:w w:val="101"/>
        </w:rPr>
        <w:t xml:space="preserve">utlendingers opphold i riket, i samsvar med norsk innvandringspolitikk og </w:t>
      </w:r>
      <w:r w:rsidRPr="002A161A">
        <w:rPr>
          <w:i/>
          <w:w w:val="101"/>
        </w:rPr>
        <w:tab/>
      </w:r>
      <w:r w:rsidR="528613C1" w:rsidRPr="0AE5F34A">
        <w:rPr>
          <w:i/>
          <w:iCs/>
          <w:w w:val="101"/>
        </w:rPr>
        <w:t>internasjonale forpliktelser.</w:t>
      </w:r>
    </w:p>
    <w:p w14:paraId="0BA8257C" w14:textId="77777777" w:rsidR="00DC183E" w:rsidRPr="002A161A" w:rsidRDefault="00DC183E" w:rsidP="00DC183E">
      <w:pPr>
        <w:rPr>
          <w:i/>
          <w:w w:val="101"/>
        </w:rPr>
      </w:pPr>
    </w:p>
    <w:p w14:paraId="4CB2BE18" w14:textId="77777777" w:rsidR="00DC183E" w:rsidRPr="002A161A" w:rsidRDefault="00DC183E" w:rsidP="00DC183E">
      <w:pPr>
        <w:rPr>
          <w:i/>
          <w:w w:val="101"/>
        </w:rPr>
      </w:pPr>
      <w:r w:rsidRPr="002A161A">
        <w:rPr>
          <w:i/>
          <w:w w:val="101"/>
        </w:rPr>
        <w:tab/>
        <w:t xml:space="preserve">Loven skal legge til rette for lovlig bevegelse over landegrensene, og ivareta </w:t>
      </w:r>
      <w:r w:rsidRPr="002A161A">
        <w:rPr>
          <w:i/>
          <w:w w:val="101"/>
        </w:rPr>
        <w:tab/>
        <w:t xml:space="preserve">rettssikkerheten til utlendinger som reiser inn i eller ut av riket, som oppholder seg </w:t>
      </w:r>
      <w:r w:rsidRPr="002A161A">
        <w:rPr>
          <w:i/>
          <w:w w:val="101"/>
        </w:rPr>
        <w:tab/>
        <w:t>her, eller som søker en tillatelse etter loven.</w:t>
      </w:r>
    </w:p>
    <w:p w14:paraId="00337378" w14:textId="77777777" w:rsidR="00DC183E" w:rsidRPr="002A161A" w:rsidRDefault="00DC183E" w:rsidP="00DC183E">
      <w:pPr>
        <w:rPr>
          <w:i/>
          <w:w w:val="101"/>
        </w:rPr>
      </w:pPr>
    </w:p>
    <w:p w14:paraId="50E1606A" w14:textId="77777777" w:rsidR="00DC183E" w:rsidRPr="002A161A" w:rsidRDefault="00DC183E" w:rsidP="00DC183E">
      <w:pPr>
        <w:rPr>
          <w:i/>
          <w:w w:val="101"/>
        </w:rPr>
      </w:pPr>
      <w:r w:rsidRPr="002A161A">
        <w:rPr>
          <w:i/>
          <w:w w:val="101"/>
        </w:rPr>
        <w:tab/>
        <w:t xml:space="preserve">Loven skal gi grunnlag for vern for utlendinger som har krav på beskyttelse etter </w:t>
      </w:r>
      <w:r w:rsidRPr="002A161A">
        <w:rPr>
          <w:i/>
          <w:w w:val="101"/>
        </w:rPr>
        <w:tab/>
        <w:t>alminnelig folkerett eller internasjonale avtaler som Norge er bundet av.</w:t>
      </w:r>
    </w:p>
    <w:p w14:paraId="713CA796" w14:textId="77777777" w:rsidR="00E91A8D" w:rsidRDefault="00E91A8D" w:rsidP="004B462F">
      <w:pPr>
        <w:rPr>
          <w:w w:val="101"/>
        </w:rPr>
      </w:pPr>
    </w:p>
    <w:p w14:paraId="3EF60EFE" w14:textId="5EA7DE57" w:rsidR="004B462F" w:rsidRDefault="00DC183E" w:rsidP="00592787">
      <w:r>
        <w:t xml:space="preserve">En rekke andre hensyn vil </w:t>
      </w:r>
      <w:r w:rsidR="002C3EC7">
        <w:t xml:space="preserve">imidlertid </w:t>
      </w:r>
      <w:r>
        <w:t xml:space="preserve">være usaklige og derfor </w:t>
      </w:r>
      <w:r w:rsidR="00592787">
        <w:t>u</w:t>
      </w:r>
      <w:r>
        <w:t xml:space="preserve">lovlig å </w:t>
      </w:r>
      <w:r w:rsidR="002251BC">
        <w:t>legge vekt på</w:t>
      </w:r>
      <w:r>
        <w:t xml:space="preserve">. Dette gjelder slike ting som </w:t>
      </w:r>
      <w:r w:rsidR="004B462F" w:rsidRPr="00860D67">
        <w:t>fordommer, partipolitiske hensyn, partshensyn og egeninteresser</w:t>
      </w:r>
      <w:r w:rsidR="004B462F" w:rsidRPr="00485C53">
        <w:t>.</w:t>
      </w:r>
      <w:r w:rsidR="004B462F" w:rsidRPr="00485C53">
        <w:rPr>
          <w:spacing w:val="16"/>
        </w:rPr>
        <w:t xml:space="preserve"> </w:t>
      </w:r>
      <w:r w:rsidR="00832C1D">
        <w:rPr>
          <w:spacing w:val="16"/>
        </w:rPr>
        <w:t xml:space="preserve">Og dessuten </w:t>
      </w:r>
      <w:r w:rsidR="004B462F" w:rsidRPr="00860D67">
        <w:t xml:space="preserve">behovet for utenlandsk arbeidskraft, eller hensynet til å demme opp for uønsket konkurranse fra utenlandsk arbeidskraft. Hvilke hensyn som er relevante vil avhenge av hvilke rammer som følger av den </w:t>
      </w:r>
      <w:r w:rsidR="00832C1D">
        <w:t xml:space="preserve">enkelte </w:t>
      </w:r>
      <w:r>
        <w:t>rettsregel, slik den tolkes i lys av</w:t>
      </w:r>
      <w:r w:rsidR="004B462F" w:rsidRPr="00860D67">
        <w:t xml:space="preserve"> forarbeider, </w:t>
      </w:r>
      <w:r w:rsidRPr="00860D67">
        <w:t>formål</w:t>
      </w:r>
      <w:r>
        <w:t xml:space="preserve">et </w:t>
      </w:r>
      <w:r w:rsidR="004B462F" w:rsidRPr="00860D67">
        <w:t xml:space="preserve">mv. </w:t>
      </w:r>
      <w:r>
        <w:t>G</w:t>
      </w:r>
      <w:r w:rsidR="004B462F" w:rsidRPr="00860D67">
        <w:t>rensene for hva som er saklige hensyn</w:t>
      </w:r>
      <w:r w:rsidR="009D6253">
        <w:t>,</w:t>
      </w:r>
      <w:r w:rsidR="004B462F" w:rsidRPr="00860D67">
        <w:t xml:space="preserve"> kan </w:t>
      </w:r>
      <w:r>
        <w:t xml:space="preserve">i noen grad </w:t>
      </w:r>
      <w:r w:rsidR="004B462F" w:rsidRPr="00860D67">
        <w:t>endre seg over tid</w:t>
      </w:r>
      <w:r w:rsidR="004B462F" w:rsidRPr="00485C53">
        <w:rPr>
          <w:w w:val="103"/>
        </w:rPr>
        <w:t>.</w:t>
      </w:r>
    </w:p>
    <w:p w14:paraId="00A9F687" w14:textId="77777777" w:rsidR="004B462F" w:rsidRDefault="004B462F" w:rsidP="004B462F">
      <w:pPr>
        <w:rPr>
          <w:w w:val="103"/>
        </w:rPr>
      </w:pPr>
    </w:p>
    <w:p w14:paraId="13633AC4" w14:textId="77777777" w:rsidR="004B462F" w:rsidRDefault="004B462F" w:rsidP="004B462F">
      <w:pPr>
        <w:rPr>
          <w:w w:val="105"/>
        </w:rPr>
      </w:pPr>
      <w:r w:rsidRPr="00860D67">
        <w:t xml:space="preserve">De vurderinger som har vært avgjørende </w:t>
      </w:r>
      <w:r w:rsidR="00DC183E">
        <w:t xml:space="preserve">for det enkelte nemndmedlem, </w:t>
      </w:r>
      <w:r w:rsidRPr="00860D67">
        <w:t>må i alle tilfelle</w:t>
      </w:r>
      <w:r w:rsidR="002C3EC7">
        <w:t>r</w:t>
      </w:r>
      <w:r w:rsidRPr="00860D67">
        <w:t xml:space="preserve"> tåle å fremgå av begrunnelsen for et vedtak</w:t>
      </w:r>
      <w:r>
        <w:rPr>
          <w:w w:val="105"/>
        </w:rPr>
        <w:t>.</w:t>
      </w:r>
    </w:p>
    <w:sectPr w:rsidR="004B462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4B4E4" w14:textId="77777777" w:rsidR="004F354A" w:rsidRDefault="004F354A">
      <w:r>
        <w:separator/>
      </w:r>
    </w:p>
  </w:endnote>
  <w:endnote w:type="continuationSeparator" w:id="0">
    <w:p w14:paraId="45FD051A" w14:textId="77777777" w:rsidR="004F354A" w:rsidRDefault="004F354A">
      <w:r>
        <w:continuationSeparator/>
      </w:r>
    </w:p>
  </w:endnote>
  <w:endnote w:type="continuationNotice" w:id="1">
    <w:p w14:paraId="69D81B8F" w14:textId="77777777" w:rsidR="004F354A" w:rsidRDefault="004F35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D123B" w14:textId="77777777" w:rsidR="00EB4845" w:rsidRDefault="00EB4845" w:rsidP="00D237E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060164A3" w14:textId="77777777" w:rsidR="00EB4845" w:rsidRDefault="00EB4845" w:rsidP="00EB484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FF85A" w14:textId="77777777" w:rsidR="00EB4845" w:rsidRDefault="00EB4845" w:rsidP="00D237E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DB6D6C">
      <w:rPr>
        <w:rStyle w:val="Sidetall"/>
        <w:noProof/>
      </w:rPr>
      <w:t>1</w:t>
    </w:r>
    <w:r>
      <w:rPr>
        <w:rStyle w:val="Sidetall"/>
      </w:rPr>
      <w:fldChar w:fldCharType="end"/>
    </w:r>
  </w:p>
  <w:p w14:paraId="18076DF0" w14:textId="77777777" w:rsidR="00A35B43" w:rsidRDefault="00A35B43" w:rsidP="00EB4845">
    <w:pPr>
      <w:pStyle w:val="Bunntekst"/>
      <w:ind w:right="36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  <w:t>UNE</w:t>
    </w:r>
    <w:r>
      <w:rPr>
        <w:rFonts w:ascii="Arial" w:hAnsi="Arial" w:cs="Arial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A51D" w14:textId="77777777" w:rsidR="00A0398D" w:rsidRDefault="00A0398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1738E" w14:textId="77777777" w:rsidR="004F354A" w:rsidRDefault="004F354A">
      <w:r>
        <w:separator/>
      </w:r>
    </w:p>
  </w:footnote>
  <w:footnote w:type="continuationSeparator" w:id="0">
    <w:p w14:paraId="555867EA" w14:textId="77777777" w:rsidR="004F354A" w:rsidRDefault="004F354A">
      <w:r>
        <w:continuationSeparator/>
      </w:r>
    </w:p>
  </w:footnote>
  <w:footnote w:type="continuationNotice" w:id="1">
    <w:p w14:paraId="37FEB4EB" w14:textId="77777777" w:rsidR="004F354A" w:rsidRDefault="004F35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A6C45" w14:textId="5E4E1DA9" w:rsidR="00A0398D" w:rsidRDefault="00A0398D">
    <w:pPr>
      <w:pStyle w:val="Topptekst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75D4C19F" wp14:editId="337B8A18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2" name="Tekstboks 2" descr="UNE 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7D0969" w14:textId="39DECD6C" w:rsidR="00A0398D" w:rsidRPr="002D3110" w:rsidRDefault="00A0398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D311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UNE 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D4C19F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alt="UNE Intern" style="position:absolute;margin-left:-16.25pt;margin-top:.05pt;width:34.95pt;height:34.95pt;z-index:251658241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4A7D0969" w14:textId="39DECD6C" w:rsidR="00A0398D" w:rsidRPr="002D3110" w:rsidRDefault="00A0398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D311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UNE Intern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998C" w14:textId="7370F717" w:rsidR="00DB6D6C" w:rsidRDefault="00A0398D">
    <w:pPr>
      <w:pStyle w:val="Topptekst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4FC423AB" wp14:editId="3F877E1C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3" name="Tekstboks 3" descr="UNE 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63E685" w14:textId="278F4CF1" w:rsidR="00A0398D" w:rsidRPr="002D3110" w:rsidRDefault="00A0398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D311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UNE 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C423AB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alt="UNE Intern" style="position:absolute;margin-left:-16.25pt;margin-top:.05pt;width:34.95pt;height:34.95pt;z-index:25165824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textbox style="mso-fit-shape-to-text:t" inset="0,0,5pt,0">
                <w:txbxContent>
                  <w:p w14:paraId="2463E685" w14:textId="278F4CF1" w:rsidR="00A0398D" w:rsidRPr="002D3110" w:rsidRDefault="00A0398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D311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UNE Intern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B6D6C">
      <w:rPr>
        <w:noProof/>
      </w:rPr>
      <w:ptab w:relativeTo="margin" w:alignment="center" w:leader="none"/>
    </w:r>
    <w:r w:rsidR="00DB6D6C">
      <w:rPr>
        <w:noProof/>
      </w:rPr>
      <w:drawing>
        <wp:inline distT="0" distB="0" distL="0" distR="0" wp14:anchorId="0935EABB" wp14:editId="747AD076">
          <wp:extent cx="1407160" cy="341630"/>
          <wp:effectExtent l="0" t="0" r="2540" b="1270"/>
          <wp:docPr id="4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DF58" w14:textId="2F65BEFC" w:rsidR="00A0398D" w:rsidRDefault="00A0398D">
    <w:pPr>
      <w:pStyle w:val="Topp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D5C9B5E" wp14:editId="14F444E0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1" name="Tekstboks 1" descr="UNE 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581EB5" w14:textId="3D9EECEE" w:rsidR="00A0398D" w:rsidRPr="002D3110" w:rsidRDefault="00A0398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D311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UNE 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5C9B5E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8" type="#_x0000_t202" alt="UNE Intern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46581EB5" w14:textId="3D9EECEE" w:rsidR="00A0398D" w:rsidRPr="002D3110" w:rsidRDefault="00A0398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D311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UNE Intern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5DEB5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E5087"/>
    <w:multiLevelType w:val="hybridMultilevel"/>
    <w:tmpl w:val="84E842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C362A"/>
    <w:multiLevelType w:val="hybridMultilevel"/>
    <w:tmpl w:val="680068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046A4"/>
    <w:multiLevelType w:val="hybridMultilevel"/>
    <w:tmpl w:val="B3508AC8"/>
    <w:lvl w:ilvl="0" w:tplc="E5C0BC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E4"/>
    <w:rsid w:val="00010924"/>
    <w:rsid w:val="000116E0"/>
    <w:rsid w:val="00015265"/>
    <w:rsid w:val="000338DC"/>
    <w:rsid w:val="00040AE9"/>
    <w:rsid w:val="000558FF"/>
    <w:rsid w:val="00072BA9"/>
    <w:rsid w:val="000738FA"/>
    <w:rsid w:val="00087567"/>
    <w:rsid w:val="000A1758"/>
    <w:rsid w:val="000C5B2E"/>
    <w:rsid w:val="000C6A0B"/>
    <w:rsid w:val="000E75BD"/>
    <w:rsid w:val="00116E31"/>
    <w:rsid w:val="0015127A"/>
    <w:rsid w:val="00170E35"/>
    <w:rsid w:val="00180BF3"/>
    <w:rsid w:val="0018168D"/>
    <w:rsid w:val="001831FA"/>
    <w:rsid w:val="001A3B6B"/>
    <w:rsid w:val="001A459C"/>
    <w:rsid w:val="001A7202"/>
    <w:rsid w:val="001D6060"/>
    <w:rsid w:val="0020139E"/>
    <w:rsid w:val="0020478D"/>
    <w:rsid w:val="002251BC"/>
    <w:rsid w:val="00271E97"/>
    <w:rsid w:val="00286F18"/>
    <w:rsid w:val="002A161A"/>
    <w:rsid w:val="002A52CA"/>
    <w:rsid w:val="002C3EC7"/>
    <w:rsid w:val="002D0DBF"/>
    <w:rsid w:val="002D3110"/>
    <w:rsid w:val="002D37AF"/>
    <w:rsid w:val="00301C26"/>
    <w:rsid w:val="003039C6"/>
    <w:rsid w:val="00337296"/>
    <w:rsid w:val="00355F9D"/>
    <w:rsid w:val="0039155B"/>
    <w:rsid w:val="003B222F"/>
    <w:rsid w:val="003E3E0B"/>
    <w:rsid w:val="003F3AA0"/>
    <w:rsid w:val="00407330"/>
    <w:rsid w:val="00413E62"/>
    <w:rsid w:val="00417669"/>
    <w:rsid w:val="00432720"/>
    <w:rsid w:val="004409D7"/>
    <w:rsid w:val="00440AF5"/>
    <w:rsid w:val="00442C16"/>
    <w:rsid w:val="00467788"/>
    <w:rsid w:val="00470A3E"/>
    <w:rsid w:val="00477CD0"/>
    <w:rsid w:val="004845E8"/>
    <w:rsid w:val="00485E1E"/>
    <w:rsid w:val="004978AF"/>
    <w:rsid w:val="004A4432"/>
    <w:rsid w:val="004B462F"/>
    <w:rsid w:val="004C406B"/>
    <w:rsid w:val="004D114D"/>
    <w:rsid w:val="004E3907"/>
    <w:rsid w:val="004E7537"/>
    <w:rsid w:val="004F354A"/>
    <w:rsid w:val="00506BC1"/>
    <w:rsid w:val="00516D6B"/>
    <w:rsid w:val="00524B0F"/>
    <w:rsid w:val="00524F7C"/>
    <w:rsid w:val="00570FCC"/>
    <w:rsid w:val="00592787"/>
    <w:rsid w:val="005A4A12"/>
    <w:rsid w:val="005A582E"/>
    <w:rsid w:val="005A621D"/>
    <w:rsid w:val="005C52A3"/>
    <w:rsid w:val="005C5FF8"/>
    <w:rsid w:val="005D0D95"/>
    <w:rsid w:val="005E533C"/>
    <w:rsid w:val="005E7DEE"/>
    <w:rsid w:val="005F1C28"/>
    <w:rsid w:val="005F3415"/>
    <w:rsid w:val="005F7AEA"/>
    <w:rsid w:val="00627EEE"/>
    <w:rsid w:val="006356E2"/>
    <w:rsid w:val="006461B3"/>
    <w:rsid w:val="00651CD6"/>
    <w:rsid w:val="0066170D"/>
    <w:rsid w:val="006A22BE"/>
    <w:rsid w:val="006C1976"/>
    <w:rsid w:val="00745F90"/>
    <w:rsid w:val="00766C88"/>
    <w:rsid w:val="007735EA"/>
    <w:rsid w:val="00785943"/>
    <w:rsid w:val="007D50F6"/>
    <w:rsid w:val="008033DC"/>
    <w:rsid w:val="00807D3E"/>
    <w:rsid w:val="0081118E"/>
    <w:rsid w:val="00822E5C"/>
    <w:rsid w:val="00832C1D"/>
    <w:rsid w:val="00834FEA"/>
    <w:rsid w:val="008374D7"/>
    <w:rsid w:val="00840F91"/>
    <w:rsid w:val="00846464"/>
    <w:rsid w:val="00860D67"/>
    <w:rsid w:val="008652E9"/>
    <w:rsid w:val="00880207"/>
    <w:rsid w:val="008A2DD7"/>
    <w:rsid w:val="008A48C8"/>
    <w:rsid w:val="008A5FAA"/>
    <w:rsid w:val="008A7192"/>
    <w:rsid w:val="008D2670"/>
    <w:rsid w:val="008D5234"/>
    <w:rsid w:val="008E067A"/>
    <w:rsid w:val="00912D02"/>
    <w:rsid w:val="0094567B"/>
    <w:rsid w:val="0095168C"/>
    <w:rsid w:val="00964A61"/>
    <w:rsid w:val="00966171"/>
    <w:rsid w:val="00976E87"/>
    <w:rsid w:val="009A056A"/>
    <w:rsid w:val="009D0AB4"/>
    <w:rsid w:val="009D6253"/>
    <w:rsid w:val="009E342F"/>
    <w:rsid w:val="00A0398D"/>
    <w:rsid w:val="00A05C7D"/>
    <w:rsid w:val="00A22D6B"/>
    <w:rsid w:val="00A248E4"/>
    <w:rsid w:val="00A35B43"/>
    <w:rsid w:val="00A44049"/>
    <w:rsid w:val="00A551A0"/>
    <w:rsid w:val="00A91E72"/>
    <w:rsid w:val="00AE2212"/>
    <w:rsid w:val="00AE2FF3"/>
    <w:rsid w:val="00AE7339"/>
    <w:rsid w:val="00AF7BBC"/>
    <w:rsid w:val="00B239AB"/>
    <w:rsid w:val="00B335AB"/>
    <w:rsid w:val="00B376A6"/>
    <w:rsid w:val="00B51FB0"/>
    <w:rsid w:val="00B5627A"/>
    <w:rsid w:val="00BB778D"/>
    <w:rsid w:val="00BC1A60"/>
    <w:rsid w:val="00BC1FDF"/>
    <w:rsid w:val="00BE18ED"/>
    <w:rsid w:val="00BE5C39"/>
    <w:rsid w:val="00C21239"/>
    <w:rsid w:val="00C27BA5"/>
    <w:rsid w:val="00C41C5E"/>
    <w:rsid w:val="00C4735A"/>
    <w:rsid w:val="00C50CB1"/>
    <w:rsid w:val="00C563DE"/>
    <w:rsid w:val="00C76E78"/>
    <w:rsid w:val="00CA6ADB"/>
    <w:rsid w:val="00CC4B1F"/>
    <w:rsid w:val="00CD31FC"/>
    <w:rsid w:val="00CE1929"/>
    <w:rsid w:val="00CF4E7B"/>
    <w:rsid w:val="00D17FD0"/>
    <w:rsid w:val="00D237EA"/>
    <w:rsid w:val="00D240E0"/>
    <w:rsid w:val="00D461B3"/>
    <w:rsid w:val="00D67CA6"/>
    <w:rsid w:val="00D87891"/>
    <w:rsid w:val="00DA2E32"/>
    <w:rsid w:val="00DB2B1B"/>
    <w:rsid w:val="00DB6D6C"/>
    <w:rsid w:val="00DC183E"/>
    <w:rsid w:val="00DC6A1A"/>
    <w:rsid w:val="00DC77C6"/>
    <w:rsid w:val="00DD54EF"/>
    <w:rsid w:val="00E14B70"/>
    <w:rsid w:val="00E733E5"/>
    <w:rsid w:val="00E91A8D"/>
    <w:rsid w:val="00EA7993"/>
    <w:rsid w:val="00EB4845"/>
    <w:rsid w:val="00ED53E6"/>
    <w:rsid w:val="00EE7BF4"/>
    <w:rsid w:val="00F32BE0"/>
    <w:rsid w:val="00F40C02"/>
    <w:rsid w:val="00F54CB0"/>
    <w:rsid w:val="00F5785E"/>
    <w:rsid w:val="00F65338"/>
    <w:rsid w:val="00F72DD6"/>
    <w:rsid w:val="00F73A0E"/>
    <w:rsid w:val="00FC04E6"/>
    <w:rsid w:val="00FC59FD"/>
    <w:rsid w:val="00FE3514"/>
    <w:rsid w:val="0AE5F34A"/>
    <w:rsid w:val="40F63F68"/>
    <w:rsid w:val="528613C1"/>
    <w:rsid w:val="5F75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2F72AA"/>
  <w15:docId w15:val="{1B9E87AC-E98E-40A9-A4BB-012640AE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8E4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DB6D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DB6D6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5C52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04E6"/>
    <w:pPr>
      <w:spacing w:before="100" w:beforeAutospacing="1" w:after="100" w:afterAutospacing="1"/>
    </w:pPr>
  </w:style>
  <w:style w:type="character" w:styleId="Hyperkobling">
    <w:name w:val="Hyperlink"/>
    <w:rsid w:val="00FC04E6"/>
    <w:rPr>
      <w:color w:val="0000FF"/>
      <w:u w:val="single"/>
    </w:rPr>
  </w:style>
  <w:style w:type="character" w:styleId="Merknadsreferanse">
    <w:name w:val="annotation reference"/>
    <w:semiHidden/>
    <w:rsid w:val="00180BF3"/>
    <w:rPr>
      <w:sz w:val="16"/>
      <w:szCs w:val="16"/>
    </w:rPr>
  </w:style>
  <w:style w:type="paragraph" w:styleId="Merknadstekst">
    <w:name w:val="annotation text"/>
    <w:basedOn w:val="Normal"/>
    <w:semiHidden/>
    <w:rsid w:val="00180BF3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180BF3"/>
    <w:rPr>
      <w:b/>
      <w:bCs/>
    </w:rPr>
  </w:style>
  <w:style w:type="character" w:styleId="Sidetall">
    <w:name w:val="page number"/>
    <w:basedOn w:val="Standardskriftforavsnitt"/>
    <w:rsid w:val="00EB4845"/>
  </w:style>
  <w:style w:type="paragraph" w:customStyle="1" w:styleId="Fargerikskyggelegginguthevingsfarge11">
    <w:name w:val="Fargerik skyggelegging – uthevingsfarge 11"/>
    <w:hidden/>
    <w:uiPriority w:val="99"/>
    <w:semiHidden/>
    <w:rsid w:val="004409D7"/>
    <w:rPr>
      <w:sz w:val="24"/>
      <w:szCs w:val="24"/>
    </w:rPr>
  </w:style>
  <w:style w:type="paragraph" w:customStyle="1" w:styleId="Fargeriklisteuthevingsfarge11">
    <w:name w:val="Fargerik liste – uthevingsfarge 11"/>
    <w:basedOn w:val="Normal"/>
    <w:uiPriority w:val="34"/>
    <w:qFormat/>
    <w:rsid w:val="00170E35"/>
    <w:pPr>
      <w:ind w:left="708"/>
    </w:pPr>
  </w:style>
  <w:style w:type="paragraph" w:styleId="Fotnotetekst">
    <w:name w:val="footnote text"/>
    <w:basedOn w:val="Normal"/>
    <w:link w:val="FotnotetekstTegn"/>
    <w:rsid w:val="001A7202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1A7202"/>
  </w:style>
  <w:style w:type="character" w:styleId="Fotnotereferanse">
    <w:name w:val="footnote reference"/>
    <w:rsid w:val="001A7202"/>
    <w:rPr>
      <w:rFonts w:cs="Times New Roman"/>
      <w:vertAlign w:val="superscript"/>
    </w:rPr>
  </w:style>
  <w:style w:type="character" w:customStyle="1" w:styleId="Overskrift1Tegn">
    <w:name w:val="Overskrift 1 Tegn"/>
    <w:basedOn w:val="Standardskriftforavsnitt"/>
    <w:link w:val="Overskrift1"/>
    <w:rsid w:val="00DB6D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rsid w:val="00DB6D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Ulstomtale">
    <w:name w:val="Unresolved Mention"/>
    <w:basedOn w:val="Standardskriftforavsnitt"/>
    <w:uiPriority w:val="99"/>
    <w:semiHidden/>
    <w:unhideWhenUsed/>
    <w:rsid w:val="00391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e.no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udiregelverk.no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ovdata.n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ivilombudet.no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ne.no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43fcc4-5d41-4ff0-b6b7-e50227f2117f">
      <Terms xmlns="http://schemas.microsoft.com/office/infopath/2007/PartnerControls"/>
    </lcf76f155ced4ddcb4097134ff3c332f>
    <TaxCatchAll xmlns="477341bf-bd8e-42e3-84db-41598c9576d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412538590024AB08433A1DFD7F73D" ma:contentTypeVersion="16" ma:contentTypeDescription="Opprett et nytt dokument." ma:contentTypeScope="" ma:versionID="4463e9f45f96fe4baf55a7ff9396a293">
  <xsd:schema xmlns:xsd="http://www.w3.org/2001/XMLSchema" xmlns:xs="http://www.w3.org/2001/XMLSchema" xmlns:p="http://schemas.microsoft.com/office/2006/metadata/properties" xmlns:ns2="9e43fcc4-5d41-4ff0-b6b7-e50227f2117f" xmlns:ns3="477341bf-bd8e-42e3-84db-41598c9576dc" targetNamespace="http://schemas.microsoft.com/office/2006/metadata/properties" ma:root="true" ma:fieldsID="e9e473ddf2dc482abc625e255faeaabb" ns2:_="" ns3:_="">
    <xsd:import namespace="9e43fcc4-5d41-4ff0-b6b7-e50227f2117f"/>
    <xsd:import namespace="477341bf-bd8e-42e3-84db-41598c9576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3fcc4-5d41-4ff0-b6b7-e50227f21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1d811d4a-0d3a-4316-80b2-c3d7392634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341bf-bd8e-42e3-84db-41598c9576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f53c59-48e1-46c8-87fc-a7a9d7d97038}" ma:internalName="TaxCatchAll" ma:showField="CatchAllData" ma:web="477341bf-bd8e-42e3-84db-41598c9576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400B5-EA3A-4246-A79A-94D20A803571}">
  <ds:schemaRefs>
    <ds:schemaRef ds:uri="http://schemas.microsoft.com/office/2006/metadata/properties"/>
    <ds:schemaRef ds:uri="http://schemas.microsoft.com/office/infopath/2007/PartnerControls"/>
    <ds:schemaRef ds:uri="9e43fcc4-5d41-4ff0-b6b7-e50227f2117f"/>
    <ds:schemaRef ds:uri="477341bf-bd8e-42e3-84db-41598c9576dc"/>
  </ds:schemaRefs>
</ds:datastoreItem>
</file>

<file path=customXml/itemProps2.xml><?xml version="1.0" encoding="utf-8"?>
<ds:datastoreItem xmlns:ds="http://schemas.openxmlformats.org/officeDocument/2006/customXml" ds:itemID="{7BD88940-AA32-4238-9321-9C78D7830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3fcc4-5d41-4ff0-b6b7-e50227f2117f"/>
    <ds:schemaRef ds:uri="477341bf-bd8e-42e3-84db-41598c957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831831-086A-4D1E-8EB5-FD36C248F8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705B86-82A5-46F7-BA4F-01FE7C1C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1588</Words>
  <Characters>9631</Characters>
  <Application>Microsoft Office Word</Application>
  <DocSecurity>4</DocSecurity>
  <Lines>80</Lines>
  <Paragraphs>22</Paragraphs>
  <ScaleCrop>false</ScaleCrop>
  <Company>Utlendingsnemnda</Company>
  <LinksUpToDate>false</LinksUpToDate>
  <CharactersWithSpaces>11197</CharactersWithSpaces>
  <SharedDoc>false</SharedDoc>
  <HLinks>
    <vt:vector size="30" baseType="variant">
      <vt:variant>
        <vt:i4>8257571</vt:i4>
      </vt:variant>
      <vt:variant>
        <vt:i4>12</vt:i4>
      </vt:variant>
      <vt:variant>
        <vt:i4>0</vt:i4>
      </vt:variant>
      <vt:variant>
        <vt:i4>5</vt:i4>
      </vt:variant>
      <vt:variant>
        <vt:lpwstr>http://www.sivilombudet.no/</vt:lpwstr>
      </vt:variant>
      <vt:variant>
        <vt:lpwstr/>
      </vt:variant>
      <vt:variant>
        <vt:i4>7995519</vt:i4>
      </vt:variant>
      <vt:variant>
        <vt:i4>9</vt:i4>
      </vt:variant>
      <vt:variant>
        <vt:i4>0</vt:i4>
      </vt:variant>
      <vt:variant>
        <vt:i4>5</vt:i4>
      </vt:variant>
      <vt:variant>
        <vt:lpwstr>http://www.une.no/</vt:lpwstr>
      </vt:variant>
      <vt:variant>
        <vt:lpwstr/>
      </vt:variant>
      <vt:variant>
        <vt:i4>7995519</vt:i4>
      </vt:variant>
      <vt:variant>
        <vt:i4>6</vt:i4>
      </vt:variant>
      <vt:variant>
        <vt:i4>0</vt:i4>
      </vt:variant>
      <vt:variant>
        <vt:i4>5</vt:i4>
      </vt:variant>
      <vt:variant>
        <vt:lpwstr>http://www.une.no/</vt:lpwstr>
      </vt:variant>
      <vt:variant>
        <vt:lpwstr/>
      </vt:variant>
      <vt:variant>
        <vt:i4>7471149</vt:i4>
      </vt:variant>
      <vt:variant>
        <vt:i4>3</vt:i4>
      </vt:variant>
      <vt:variant>
        <vt:i4>0</vt:i4>
      </vt:variant>
      <vt:variant>
        <vt:i4>5</vt:i4>
      </vt:variant>
      <vt:variant>
        <vt:lpwstr>http://www.udiregelverk.no/</vt:lpwstr>
      </vt:variant>
      <vt:variant>
        <vt:lpwstr/>
      </vt:variant>
      <vt:variant>
        <vt:i4>7340142</vt:i4>
      </vt:variant>
      <vt:variant>
        <vt:i4>0</vt:i4>
      </vt:variant>
      <vt:variant>
        <vt:i4>0</vt:i4>
      </vt:variant>
      <vt:variant>
        <vt:i4>5</vt:i4>
      </vt:variant>
      <vt:variant>
        <vt:lpwstr>http://www.lovdata.no/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nemndmedlemmene</dc:title>
  <dc:creator>Ingrid Kjærnet Hagen</dc:creator>
  <cp:lastModifiedBy>Vibeke Tveit</cp:lastModifiedBy>
  <cp:revision>2</cp:revision>
  <cp:lastPrinted>2018-04-16T07:49:00Z</cp:lastPrinted>
  <dcterms:created xsi:type="dcterms:W3CDTF">2022-09-20T08:40:00Z</dcterms:created>
  <dcterms:modified xsi:type="dcterms:W3CDTF">2022-09-20T08:40:00Z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0x010100EC3412538590024AB08433A1DFD7F73D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UNE Intern</vt:lpwstr>
  </property>
  <property fmtid="{D5CDD505-2E9C-101B-9397-08002B2CF9AE}" pid="6" name="MSIP_Label_28bff643-a128-413c-8772-caf7faf9896a_Enabled">
    <vt:lpwstr>true</vt:lpwstr>
  </property>
  <property fmtid="{D5CDD505-2E9C-101B-9397-08002B2CF9AE}" pid="7" name="MSIP_Label_28bff643-a128-413c-8772-caf7faf9896a_SetDate">
    <vt:lpwstr>2022-09-19T08:10:03Z</vt:lpwstr>
  </property>
  <property fmtid="{D5CDD505-2E9C-101B-9397-08002B2CF9AE}" pid="8" name="MSIP_Label_28bff643-a128-413c-8772-caf7faf9896a_Method">
    <vt:lpwstr>Standard</vt:lpwstr>
  </property>
  <property fmtid="{D5CDD505-2E9C-101B-9397-08002B2CF9AE}" pid="9" name="MSIP_Label_28bff643-a128-413c-8772-caf7faf9896a_Name">
    <vt:lpwstr>Intern</vt:lpwstr>
  </property>
  <property fmtid="{D5CDD505-2E9C-101B-9397-08002B2CF9AE}" pid="10" name="MSIP_Label_28bff643-a128-413c-8772-caf7faf9896a_SiteId">
    <vt:lpwstr>7fe85424-8c50-436c-a17e-979d4ac35f1f</vt:lpwstr>
  </property>
  <property fmtid="{D5CDD505-2E9C-101B-9397-08002B2CF9AE}" pid="11" name="MSIP_Label_28bff643-a128-413c-8772-caf7faf9896a_ActionId">
    <vt:lpwstr>d97df3fd-4d49-40c2-96df-8ebac1a77fa6</vt:lpwstr>
  </property>
  <property fmtid="{D5CDD505-2E9C-101B-9397-08002B2CF9AE}" pid="12" name="MSIP_Label_28bff643-a128-413c-8772-caf7faf9896a_ContentBits">
    <vt:lpwstr>1</vt:lpwstr>
  </property>
</Properties>
</file>